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05" w:rsidRPr="00C2681D" w:rsidRDefault="00ED5F4F" w:rsidP="001721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681D">
        <w:rPr>
          <w:rFonts w:ascii="Times New Roman" w:hAnsi="Times New Roman" w:cs="Times New Roman"/>
          <w:b/>
          <w:sz w:val="36"/>
          <w:szCs w:val="36"/>
        </w:rPr>
        <w:t>План кафедр научно-исследовательских работ на 2024 год</w:t>
      </w:r>
    </w:p>
    <w:tbl>
      <w:tblPr>
        <w:tblW w:w="160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464"/>
        <w:gridCol w:w="154"/>
        <w:gridCol w:w="144"/>
        <w:gridCol w:w="125"/>
        <w:gridCol w:w="429"/>
        <w:gridCol w:w="12"/>
        <w:gridCol w:w="132"/>
        <w:gridCol w:w="948"/>
        <w:gridCol w:w="195"/>
        <w:gridCol w:w="201"/>
        <w:gridCol w:w="285"/>
        <w:gridCol w:w="306"/>
        <w:gridCol w:w="57"/>
        <w:gridCol w:w="73"/>
        <w:gridCol w:w="155"/>
        <w:gridCol w:w="185"/>
        <w:gridCol w:w="210"/>
        <w:gridCol w:w="515"/>
        <w:gridCol w:w="28"/>
        <w:gridCol w:w="378"/>
        <w:gridCol w:w="126"/>
        <w:gridCol w:w="7"/>
        <w:gridCol w:w="166"/>
        <w:gridCol w:w="259"/>
        <w:gridCol w:w="26"/>
        <w:gridCol w:w="899"/>
        <w:gridCol w:w="32"/>
        <w:gridCol w:w="28"/>
        <w:gridCol w:w="2880"/>
        <w:gridCol w:w="457"/>
        <w:gridCol w:w="567"/>
        <w:gridCol w:w="94"/>
        <w:gridCol w:w="392"/>
        <w:gridCol w:w="529"/>
        <w:gridCol w:w="148"/>
        <w:gridCol w:w="1630"/>
        <w:gridCol w:w="140"/>
        <w:gridCol w:w="16"/>
        <w:gridCol w:w="12"/>
        <w:gridCol w:w="47"/>
      </w:tblGrid>
      <w:tr w:rsidR="00172105" w:rsidRPr="00C2681D" w:rsidTr="00970D13">
        <w:trPr>
          <w:gridBefore w:val="1"/>
          <w:gridAfter w:val="4"/>
          <w:wBefore w:w="642" w:type="dxa"/>
          <w:wAfter w:w="215" w:type="dxa"/>
          <w:trHeight w:val="116"/>
        </w:trPr>
        <w:tc>
          <w:tcPr>
            <w:tcW w:w="2762" w:type="dxa"/>
            <w:gridSpan w:val="3"/>
            <w:vMerge w:val="restart"/>
            <w:vAlign w:val="center"/>
          </w:tcPr>
          <w:p w:rsidR="00172105" w:rsidRPr="00C2681D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C2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подтемы</w:t>
            </w:r>
            <w:proofErr w:type="spellEnd"/>
            <w:r w:rsidRPr="00C2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этапа, </w:t>
            </w:r>
            <w:proofErr w:type="spellStart"/>
            <w:r w:rsidRPr="00C2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подэтапа</w:t>
            </w:r>
            <w:proofErr w:type="spellEnd"/>
          </w:p>
        </w:tc>
        <w:tc>
          <w:tcPr>
            <w:tcW w:w="2327" w:type="dxa"/>
            <w:gridSpan w:val="8"/>
            <w:vMerge w:val="restart"/>
            <w:vAlign w:val="center"/>
          </w:tcPr>
          <w:p w:rsidR="00172105" w:rsidRPr="00C2681D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научных руководителей, исполнителей</w:t>
            </w:r>
          </w:p>
        </w:tc>
        <w:tc>
          <w:tcPr>
            <w:tcW w:w="3450" w:type="dxa"/>
            <w:gridSpan w:val="17"/>
            <w:vAlign w:val="center"/>
          </w:tcPr>
          <w:p w:rsidR="00172105" w:rsidRPr="00C2681D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выполнения</w:t>
            </w:r>
          </w:p>
        </w:tc>
        <w:tc>
          <w:tcPr>
            <w:tcW w:w="3904" w:type="dxa"/>
            <w:gridSpan w:val="3"/>
            <w:vMerge w:val="restart"/>
            <w:vAlign w:val="center"/>
          </w:tcPr>
          <w:p w:rsidR="00172105" w:rsidRPr="00C2681D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научный результат</w:t>
            </w:r>
          </w:p>
        </w:tc>
        <w:tc>
          <w:tcPr>
            <w:tcW w:w="2793" w:type="dxa"/>
            <w:gridSpan w:val="5"/>
            <w:vMerge w:val="restart"/>
            <w:vAlign w:val="center"/>
          </w:tcPr>
          <w:p w:rsidR="00172105" w:rsidRPr="00C2681D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внедрения полученных результатов</w:t>
            </w:r>
          </w:p>
        </w:tc>
      </w:tr>
      <w:tr w:rsidR="00172105" w:rsidRPr="00C2681D" w:rsidTr="00970D13">
        <w:trPr>
          <w:gridBefore w:val="1"/>
          <w:gridAfter w:val="4"/>
          <w:wBefore w:w="642" w:type="dxa"/>
          <w:wAfter w:w="215" w:type="dxa"/>
          <w:trHeight w:val="115"/>
        </w:trPr>
        <w:tc>
          <w:tcPr>
            <w:tcW w:w="2762" w:type="dxa"/>
            <w:gridSpan w:val="3"/>
            <w:vMerge/>
          </w:tcPr>
          <w:p w:rsidR="00172105" w:rsidRPr="00C2681D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gridSpan w:val="8"/>
            <w:vMerge/>
          </w:tcPr>
          <w:p w:rsidR="00172105" w:rsidRPr="00C2681D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gridSpan w:val="9"/>
          </w:tcPr>
          <w:p w:rsidR="00172105" w:rsidRPr="00C2681D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начало </w:t>
            </w:r>
          </w:p>
        </w:tc>
        <w:tc>
          <w:tcPr>
            <w:tcW w:w="1543" w:type="dxa"/>
            <w:gridSpan w:val="8"/>
          </w:tcPr>
          <w:p w:rsidR="00172105" w:rsidRPr="00C2681D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конец </w:t>
            </w:r>
          </w:p>
        </w:tc>
        <w:tc>
          <w:tcPr>
            <w:tcW w:w="3904" w:type="dxa"/>
            <w:gridSpan w:val="3"/>
            <w:vMerge/>
          </w:tcPr>
          <w:p w:rsidR="00172105" w:rsidRPr="00C2681D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3" w:type="dxa"/>
            <w:gridSpan w:val="5"/>
            <w:vMerge/>
          </w:tcPr>
          <w:p w:rsidR="00172105" w:rsidRPr="00C2681D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2105" w:rsidRPr="00C2681D" w:rsidTr="00970D13">
        <w:trPr>
          <w:gridBefore w:val="1"/>
          <w:gridAfter w:val="4"/>
          <w:wBefore w:w="642" w:type="dxa"/>
          <w:wAfter w:w="215" w:type="dxa"/>
          <w:trHeight w:val="115"/>
        </w:trPr>
        <w:tc>
          <w:tcPr>
            <w:tcW w:w="15236" w:type="dxa"/>
            <w:gridSpan w:val="36"/>
          </w:tcPr>
          <w:p w:rsidR="00172105" w:rsidRPr="00C2681D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81D">
              <w:rPr>
                <w:rFonts w:ascii="Times New Roman" w:hAnsi="Times New Roman" w:cs="Times New Roman"/>
                <w:b/>
              </w:rPr>
              <w:t>Кафедра прикладной информатики в экономике</w:t>
            </w:r>
          </w:p>
        </w:tc>
      </w:tr>
      <w:tr w:rsidR="00172105" w:rsidRPr="00C2681D" w:rsidTr="00970D13">
        <w:trPr>
          <w:gridBefore w:val="1"/>
          <w:gridAfter w:val="4"/>
          <w:wBefore w:w="642" w:type="dxa"/>
          <w:wAfter w:w="215" w:type="dxa"/>
          <w:trHeight w:val="283"/>
        </w:trPr>
        <w:tc>
          <w:tcPr>
            <w:tcW w:w="15236" w:type="dxa"/>
            <w:gridSpan w:val="36"/>
          </w:tcPr>
          <w:p w:rsidR="00172105" w:rsidRPr="00C2681D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 «</w:t>
            </w:r>
            <w:r w:rsidRPr="00C26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Трансформация базовых процессов организаций в условиях </w:t>
            </w:r>
            <w:proofErr w:type="spellStart"/>
            <w:r w:rsidRPr="00C26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C26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(2022-2024 гг.)</w:t>
            </w:r>
          </w:p>
        </w:tc>
      </w:tr>
      <w:tr w:rsidR="00172105" w:rsidRPr="00C2681D" w:rsidTr="00970D13">
        <w:trPr>
          <w:gridBefore w:val="1"/>
          <w:gridAfter w:val="4"/>
          <w:wBefore w:w="642" w:type="dxa"/>
          <w:wAfter w:w="215" w:type="dxa"/>
          <w:trHeight w:val="283"/>
        </w:trPr>
        <w:tc>
          <w:tcPr>
            <w:tcW w:w="2762" w:type="dxa"/>
            <w:gridSpan w:val="3"/>
          </w:tcPr>
          <w:p w:rsidR="00172105" w:rsidRPr="00C2681D" w:rsidRDefault="00172105" w:rsidP="001721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Подтема</w:t>
            </w:r>
            <w:proofErr w:type="spellEnd"/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: Направления трансформации человеческого капитала в условиях </w:t>
            </w:r>
            <w:proofErr w:type="spellStart"/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цифровизации</w:t>
            </w:r>
            <w:proofErr w:type="spellEnd"/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экономик</w:t>
            </w:r>
            <w:bookmarkStart w:id="0" w:name="_GoBack"/>
            <w:bookmarkEnd w:id="0"/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</w:t>
            </w:r>
          </w:p>
        </w:tc>
        <w:tc>
          <w:tcPr>
            <w:tcW w:w="2327" w:type="dxa"/>
            <w:gridSpan w:val="8"/>
          </w:tcPr>
          <w:p w:rsidR="00172105" w:rsidRPr="00C2681D" w:rsidRDefault="00172105" w:rsidP="001721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проф. </w:t>
            </w:r>
          </w:p>
          <w:p w:rsidR="00172105" w:rsidRPr="00C2681D" w:rsidRDefault="00172105" w:rsidP="001721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И.А. Павлинов</w:t>
            </w:r>
          </w:p>
          <w:p w:rsidR="00172105" w:rsidRPr="00C2681D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ст. преп. </w:t>
            </w:r>
          </w:p>
          <w:p w:rsidR="00172105" w:rsidRPr="00C2681D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И.И. Сычева</w:t>
            </w:r>
          </w:p>
        </w:tc>
        <w:tc>
          <w:tcPr>
            <w:tcW w:w="1907" w:type="dxa"/>
            <w:gridSpan w:val="9"/>
          </w:tcPr>
          <w:p w:rsidR="00172105" w:rsidRPr="00C2681D" w:rsidRDefault="00172105" w:rsidP="001721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 кв.</w:t>
            </w:r>
          </w:p>
          <w:p w:rsidR="00172105" w:rsidRPr="00C2681D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2024 г.</w:t>
            </w:r>
          </w:p>
        </w:tc>
        <w:tc>
          <w:tcPr>
            <w:tcW w:w="1543" w:type="dxa"/>
            <w:gridSpan w:val="8"/>
          </w:tcPr>
          <w:p w:rsidR="00172105" w:rsidRPr="00C2681D" w:rsidRDefault="00172105" w:rsidP="001721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IV кв.</w:t>
            </w:r>
          </w:p>
          <w:p w:rsidR="00172105" w:rsidRPr="00C2681D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2024 г.</w:t>
            </w:r>
          </w:p>
        </w:tc>
        <w:tc>
          <w:tcPr>
            <w:tcW w:w="3904" w:type="dxa"/>
            <w:gridSpan w:val="3"/>
          </w:tcPr>
          <w:p w:rsidR="00172105" w:rsidRPr="00C2681D" w:rsidRDefault="00172105" w:rsidP="001721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Будут определены:</w:t>
            </w:r>
          </w:p>
          <w:p w:rsidR="00172105" w:rsidRPr="00C2681D" w:rsidRDefault="00172105" w:rsidP="001721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– основные направления цифровой трансформации человеческого капитала;</w:t>
            </w:r>
          </w:p>
          <w:p w:rsidR="00172105" w:rsidRPr="00C2681D" w:rsidRDefault="00172105" w:rsidP="001721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– формы взаимодействия системы образования и бизнес-сообщества, как основы развития человеческого капитала.</w:t>
            </w:r>
          </w:p>
          <w:p w:rsidR="00172105" w:rsidRPr="00C2681D" w:rsidRDefault="00172105" w:rsidP="001721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Будут рассмотрены:</w:t>
            </w:r>
          </w:p>
          <w:p w:rsidR="00172105" w:rsidRPr="00C2681D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– информационные технологии, способствующие развитию человеческого капитала в цифровой экономике.</w:t>
            </w:r>
          </w:p>
        </w:tc>
        <w:tc>
          <w:tcPr>
            <w:tcW w:w="2793" w:type="dxa"/>
            <w:gridSpan w:val="5"/>
          </w:tcPr>
          <w:p w:rsidR="00172105" w:rsidRPr="00C2681D" w:rsidRDefault="00172105" w:rsidP="001721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Статьи, доклады на конференциях,</w:t>
            </w:r>
          </w:p>
          <w:p w:rsidR="00172105" w:rsidRPr="00C2681D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совершенствование виртуального информационно-технологического парка.</w:t>
            </w:r>
          </w:p>
        </w:tc>
      </w:tr>
      <w:tr w:rsidR="00172105" w:rsidRPr="00C2681D" w:rsidTr="00970D13">
        <w:trPr>
          <w:gridBefore w:val="1"/>
          <w:gridAfter w:val="4"/>
          <w:wBefore w:w="642" w:type="dxa"/>
          <w:wAfter w:w="215" w:type="dxa"/>
          <w:trHeight w:val="283"/>
        </w:trPr>
        <w:tc>
          <w:tcPr>
            <w:tcW w:w="2762" w:type="dxa"/>
            <w:gridSpan w:val="3"/>
          </w:tcPr>
          <w:p w:rsidR="00172105" w:rsidRPr="00C2681D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 xml:space="preserve">: Особенности формирования инновационной среды в условиях </w:t>
            </w:r>
            <w:proofErr w:type="spellStart"/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цифровизации</w:t>
            </w:r>
            <w:proofErr w:type="spellEnd"/>
          </w:p>
        </w:tc>
        <w:tc>
          <w:tcPr>
            <w:tcW w:w="2327" w:type="dxa"/>
            <w:gridSpan w:val="8"/>
          </w:tcPr>
          <w:p w:rsidR="00172105" w:rsidRPr="00C2681D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ст. преп.:</w:t>
            </w:r>
          </w:p>
          <w:p w:rsidR="00172105" w:rsidRPr="00C2681D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 xml:space="preserve">М.А. </w:t>
            </w:r>
            <w:proofErr w:type="spellStart"/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Скалецкий</w:t>
            </w:r>
            <w:proofErr w:type="spellEnd"/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907" w:type="dxa"/>
            <w:gridSpan w:val="9"/>
          </w:tcPr>
          <w:p w:rsidR="00172105" w:rsidRPr="00C2681D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172105" w:rsidRPr="00C2681D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543" w:type="dxa"/>
            <w:gridSpan w:val="8"/>
          </w:tcPr>
          <w:p w:rsidR="00172105" w:rsidRPr="00C2681D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172105" w:rsidRPr="00C2681D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3904" w:type="dxa"/>
            <w:gridSpan w:val="3"/>
          </w:tcPr>
          <w:p w:rsidR="00172105" w:rsidRPr="00C2681D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Будут определены:</w:t>
            </w:r>
          </w:p>
          <w:p w:rsidR="00172105" w:rsidRPr="00C2681D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– информационные технологии, способствующие формированию инновационной среды.</w:t>
            </w:r>
          </w:p>
          <w:p w:rsidR="00172105" w:rsidRPr="00C2681D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Будут рассмотрены:</w:t>
            </w:r>
          </w:p>
          <w:p w:rsidR="00172105" w:rsidRPr="00C2681D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 xml:space="preserve">– условия </w:t>
            </w:r>
            <w:proofErr w:type="spellStart"/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цифровизации</w:t>
            </w:r>
            <w:proofErr w:type="spellEnd"/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, необходимые для формирования инновационной среды;</w:t>
            </w:r>
          </w:p>
          <w:p w:rsidR="00172105" w:rsidRPr="00C2681D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 xml:space="preserve">– неопределённости и риски, связанные с </w:t>
            </w:r>
            <w:proofErr w:type="spellStart"/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цифровизацией</w:t>
            </w:r>
            <w:proofErr w:type="spellEnd"/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 xml:space="preserve"> при формировании инновационной среды.</w:t>
            </w:r>
          </w:p>
        </w:tc>
        <w:tc>
          <w:tcPr>
            <w:tcW w:w="2793" w:type="dxa"/>
            <w:gridSpan w:val="5"/>
          </w:tcPr>
          <w:p w:rsidR="00172105" w:rsidRPr="00C2681D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Статьи, доклады на конференциях,</w:t>
            </w:r>
          </w:p>
          <w:p w:rsidR="00172105" w:rsidRPr="00C2681D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виртуального информационно-технологического парка</w:t>
            </w:r>
          </w:p>
        </w:tc>
      </w:tr>
      <w:tr w:rsidR="00172105" w:rsidRPr="00172105" w:rsidTr="00970D13">
        <w:trPr>
          <w:gridBefore w:val="1"/>
          <w:gridAfter w:val="4"/>
          <w:wBefore w:w="642" w:type="dxa"/>
          <w:wAfter w:w="215" w:type="dxa"/>
          <w:trHeight w:val="1434"/>
        </w:trPr>
        <w:tc>
          <w:tcPr>
            <w:tcW w:w="2762" w:type="dxa"/>
            <w:gridSpan w:val="3"/>
          </w:tcPr>
          <w:p w:rsidR="00172105" w:rsidRPr="00C2681D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Подтема</w:t>
            </w:r>
            <w:proofErr w:type="spellEnd"/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: Основные факторы, влияющие на качество внедрения цифровых технологий в деятельность хозяйствующих субъектов Приднестровья.</w:t>
            </w:r>
          </w:p>
        </w:tc>
        <w:tc>
          <w:tcPr>
            <w:tcW w:w="2327" w:type="dxa"/>
            <w:gridSpan w:val="8"/>
          </w:tcPr>
          <w:p w:rsidR="00172105" w:rsidRPr="00C2681D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 xml:space="preserve">доц. </w:t>
            </w:r>
          </w:p>
          <w:p w:rsidR="00172105" w:rsidRPr="00C2681D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 xml:space="preserve">Л.К. </w:t>
            </w:r>
            <w:proofErr w:type="spellStart"/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Скодорова</w:t>
            </w:r>
            <w:proofErr w:type="spellEnd"/>
          </w:p>
          <w:p w:rsidR="00172105" w:rsidRPr="00C2681D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ст. преп.:</w:t>
            </w:r>
          </w:p>
          <w:p w:rsidR="00172105" w:rsidRPr="00C2681D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Е.В. Лоскутова</w:t>
            </w:r>
          </w:p>
          <w:p w:rsidR="00172105" w:rsidRPr="00C2681D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А.А. Ляху</w:t>
            </w:r>
          </w:p>
        </w:tc>
        <w:tc>
          <w:tcPr>
            <w:tcW w:w="1907" w:type="dxa"/>
            <w:gridSpan w:val="9"/>
          </w:tcPr>
          <w:p w:rsidR="00172105" w:rsidRPr="00C2681D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172105" w:rsidRPr="00C2681D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543" w:type="dxa"/>
            <w:gridSpan w:val="8"/>
          </w:tcPr>
          <w:p w:rsidR="00172105" w:rsidRPr="00C2681D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172105" w:rsidRPr="00C2681D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3904" w:type="dxa"/>
            <w:gridSpan w:val="3"/>
          </w:tcPr>
          <w:p w:rsidR="00172105" w:rsidRPr="00C2681D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Будут определены: основные факторы, влияющие на возможность и успешность внедрения новых цифровых технологий в деятельность организаций и предприятий ПМР в зависимости от масштаба и используемой бизнес-модели.</w:t>
            </w:r>
          </w:p>
        </w:tc>
        <w:tc>
          <w:tcPr>
            <w:tcW w:w="2793" w:type="dxa"/>
            <w:gridSpan w:val="5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1D">
              <w:rPr>
                <w:rFonts w:ascii="Times New Roman" w:eastAsia="Times New Roman" w:hAnsi="Times New Roman" w:cs="Times New Roman"/>
                <w:lang w:eastAsia="ru-RU"/>
              </w:rPr>
              <w:t>Статьи, доклады на конференциях.</w:t>
            </w:r>
          </w:p>
        </w:tc>
      </w:tr>
      <w:tr w:rsidR="00172105" w:rsidRPr="00172105" w:rsidTr="00970D13">
        <w:trPr>
          <w:gridBefore w:val="1"/>
          <w:gridAfter w:val="4"/>
          <w:wBefore w:w="642" w:type="dxa"/>
          <w:wAfter w:w="215" w:type="dxa"/>
          <w:trHeight w:val="283"/>
        </w:trPr>
        <w:tc>
          <w:tcPr>
            <w:tcW w:w="2762" w:type="dxa"/>
            <w:gridSpan w:val="3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: Организация процесса цифровой трансформации</w:t>
            </w:r>
          </w:p>
        </w:tc>
        <w:tc>
          <w:tcPr>
            <w:tcW w:w="2327" w:type="dxa"/>
            <w:gridSpan w:val="8"/>
          </w:tcPr>
          <w:p w:rsidR="00172105" w:rsidRPr="00172105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ст. преп. </w:t>
            </w:r>
          </w:p>
          <w:p w:rsidR="00172105" w:rsidRPr="00172105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И.А. Печерский</w:t>
            </w:r>
          </w:p>
          <w:p w:rsidR="00172105" w:rsidRPr="00172105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преп. К.Н. </w:t>
            </w: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Попадюк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72105" w:rsidRPr="00172105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gridSpan w:val="9"/>
          </w:tcPr>
          <w:p w:rsidR="00172105" w:rsidRPr="00172105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172105" w:rsidRPr="00172105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543" w:type="dxa"/>
            <w:gridSpan w:val="8"/>
          </w:tcPr>
          <w:p w:rsidR="00172105" w:rsidRPr="00172105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172105" w:rsidRPr="00172105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3904" w:type="dxa"/>
            <w:gridSpan w:val="3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Будут определены: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- условия цифровой трансформации;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- основные технологии цифровой трансформации;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- этапы трансформации.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Будут рассмотрены: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- обучение цифровой трансформации;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- проведение цифровой трансформации.</w:t>
            </w:r>
          </w:p>
        </w:tc>
        <w:tc>
          <w:tcPr>
            <w:tcW w:w="2793" w:type="dxa"/>
            <w:gridSpan w:val="5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Статьи, доклады на конференциях, совершенствование виртуального информационно-технологического парка.</w:t>
            </w:r>
          </w:p>
        </w:tc>
      </w:tr>
      <w:tr w:rsidR="00172105" w:rsidRPr="00172105" w:rsidTr="00970D13">
        <w:trPr>
          <w:gridBefore w:val="1"/>
          <w:gridAfter w:val="4"/>
          <w:wBefore w:w="642" w:type="dxa"/>
          <w:wAfter w:w="215" w:type="dxa"/>
          <w:trHeight w:val="283"/>
        </w:trPr>
        <w:tc>
          <w:tcPr>
            <w:tcW w:w="2762" w:type="dxa"/>
            <w:gridSpan w:val="3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: Новая реальность цифровой экономики: индустрия 5.0 (уровень предприятий и отрасли)</w:t>
            </w:r>
          </w:p>
        </w:tc>
        <w:tc>
          <w:tcPr>
            <w:tcW w:w="2327" w:type="dxa"/>
            <w:gridSpan w:val="8"/>
          </w:tcPr>
          <w:p w:rsidR="00172105" w:rsidRPr="00172105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ст. преп.: </w:t>
            </w:r>
          </w:p>
          <w:p w:rsidR="00172105" w:rsidRPr="00172105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Е.И. </w:t>
            </w: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Павлинова</w:t>
            </w:r>
            <w:proofErr w:type="spellEnd"/>
          </w:p>
          <w:p w:rsidR="00172105" w:rsidRPr="00172105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И.И. Попик</w:t>
            </w:r>
          </w:p>
          <w:p w:rsidR="00172105" w:rsidRPr="00172105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07" w:type="dxa"/>
            <w:gridSpan w:val="9"/>
          </w:tcPr>
          <w:p w:rsidR="00172105" w:rsidRPr="00172105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172105" w:rsidRPr="00172105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543" w:type="dxa"/>
            <w:gridSpan w:val="8"/>
          </w:tcPr>
          <w:p w:rsidR="00172105" w:rsidRPr="00172105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172105" w:rsidRPr="00172105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3904" w:type="dxa"/>
            <w:gridSpan w:val="3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Будут определены: характеристики деловой организации в Индустрии 5.0; особенности организации ЦЭС: цифровой экосистемы.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Будут рассмотрены:  признаки перехода к индустрии 5.0 у предприятий, структура взаимодействий внутри отрасли; внутренняя структура гибридного предприятия.</w:t>
            </w:r>
          </w:p>
        </w:tc>
        <w:tc>
          <w:tcPr>
            <w:tcW w:w="2793" w:type="dxa"/>
            <w:gridSpan w:val="5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Статьи, доклады на конференциях,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виртуального информационно-технологического парка</w:t>
            </w:r>
          </w:p>
        </w:tc>
      </w:tr>
      <w:tr w:rsidR="00172105" w:rsidRPr="00172105" w:rsidTr="00970D13">
        <w:trPr>
          <w:gridBefore w:val="1"/>
          <w:gridAfter w:val="4"/>
          <w:wBefore w:w="642" w:type="dxa"/>
          <w:wAfter w:w="215" w:type="dxa"/>
          <w:trHeight w:val="3308"/>
        </w:trPr>
        <w:tc>
          <w:tcPr>
            <w:tcW w:w="2762" w:type="dxa"/>
            <w:gridSpan w:val="3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Нейросетевые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 алгоритмы в распознавании функциональной эффективности менеджеров в управлении предприятием.</w:t>
            </w:r>
          </w:p>
        </w:tc>
        <w:tc>
          <w:tcPr>
            <w:tcW w:w="2327" w:type="dxa"/>
            <w:gridSpan w:val="8"/>
          </w:tcPr>
          <w:p w:rsidR="00172105" w:rsidRPr="00172105" w:rsidRDefault="00172105" w:rsidP="0017210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Преп. И.М. </w:t>
            </w: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Терлюга</w:t>
            </w:r>
            <w:proofErr w:type="spellEnd"/>
          </w:p>
        </w:tc>
        <w:tc>
          <w:tcPr>
            <w:tcW w:w="1907" w:type="dxa"/>
            <w:gridSpan w:val="9"/>
          </w:tcPr>
          <w:p w:rsidR="00172105" w:rsidRPr="00172105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172105" w:rsidRPr="00172105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543" w:type="dxa"/>
            <w:gridSpan w:val="8"/>
          </w:tcPr>
          <w:p w:rsidR="00172105" w:rsidRPr="00172105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172105" w:rsidRPr="00172105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3904" w:type="dxa"/>
            <w:gridSpan w:val="3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Будут определены: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 – модели функциональной эффективности управления команд менеджеров; </w:t>
            </w: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нейросетевые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 алгоритмы для определения функциональной эффективности менеджеров.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Будут рассмотрены: 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нейросетевые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 алгоритмы и их реализации для </w:t>
            </w: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распознования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функциональной эффективности команд менеджеров, а также модели функциональной  эффективности командного управления.</w:t>
            </w:r>
          </w:p>
        </w:tc>
        <w:tc>
          <w:tcPr>
            <w:tcW w:w="2793" w:type="dxa"/>
            <w:gridSpan w:val="5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Статьи, доклады на конференциях.</w:t>
            </w:r>
          </w:p>
        </w:tc>
      </w:tr>
      <w:tr w:rsidR="00172105" w:rsidRPr="00172105" w:rsidTr="00970D13">
        <w:trPr>
          <w:gridAfter w:val="3"/>
          <w:wAfter w:w="75" w:type="dxa"/>
          <w:trHeight w:val="416"/>
        </w:trPr>
        <w:tc>
          <w:tcPr>
            <w:tcW w:w="16018" w:type="dxa"/>
            <w:gridSpan w:val="38"/>
            <w:vAlign w:val="center"/>
          </w:tcPr>
          <w:p w:rsidR="00172105" w:rsidRPr="00172105" w:rsidRDefault="00172105" w:rsidP="0017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Кафедра декоративно-прикладного искусства</w:t>
            </w:r>
          </w:p>
        </w:tc>
      </w:tr>
      <w:tr w:rsidR="00172105" w:rsidRPr="00172105" w:rsidTr="00970D13">
        <w:trPr>
          <w:gridAfter w:val="3"/>
          <w:wAfter w:w="75" w:type="dxa"/>
          <w:trHeight w:val="209"/>
        </w:trPr>
        <w:tc>
          <w:tcPr>
            <w:tcW w:w="16018" w:type="dxa"/>
            <w:gridSpan w:val="38"/>
          </w:tcPr>
          <w:p w:rsidR="00172105" w:rsidRPr="00804F2B" w:rsidRDefault="00172105" w:rsidP="0080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F2B">
              <w:rPr>
                <w:rFonts w:ascii="Times New Roman" w:eastAsia="Times New Roman" w:hAnsi="Times New Roman" w:cs="Times New Roman"/>
                <w:b/>
                <w:lang w:eastAsia="ru-RU"/>
              </w:rPr>
              <w:t>Тема: «Современные тенденции и инновации в художественном образовании» (2024 – 2028 гг.)</w:t>
            </w:r>
          </w:p>
        </w:tc>
      </w:tr>
      <w:tr w:rsidR="00CE37C8" w:rsidRPr="00172105" w:rsidTr="00970D13">
        <w:trPr>
          <w:gridAfter w:val="3"/>
          <w:wAfter w:w="75" w:type="dxa"/>
          <w:trHeight w:val="1516"/>
        </w:trPr>
        <w:tc>
          <w:tcPr>
            <w:tcW w:w="3958" w:type="dxa"/>
            <w:gridSpan w:val="6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: Реализация регионального компонента в учебном процессе кафедры декоративно-прикладного искусства.</w:t>
            </w:r>
          </w:p>
        </w:tc>
        <w:tc>
          <w:tcPr>
            <w:tcW w:w="2209" w:type="dxa"/>
            <w:gridSpan w:val="9"/>
            <w:vMerge w:val="restart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доц.: 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А.М. </w:t>
            </w: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Покусинский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Л.В. </w:t>
            </w: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Покусинская</w:t>
            </w:r>
            <w:proofErr w:type="spellEnd"/>
          </w:p>
        </w:tc>
        <w:tc>
          <w:tcPr>
            <w:tcW w:w="1604" w:type="dxa"/>
            <w:gridSpan w:val="8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gridSpan w:val="4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2028 г.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9" w:type="dxa"/>
            <w:gridSpan w:val="8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Будут изучены виды и способы реализации регионального компонента в работах студентов кафедры декоративно-прикладного искусства для дальнейшего применения в качестве методических рекомендаций.</w:t>
            </w:r>
          </w:p>
        </w:tc>
        <w:tc>
          <w:tcPr>
            <w:tcW w:w="1918" w:type="dxa"/>
            <w:gridSpan w:val="3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научные 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доклады и 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статьи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7C8" w:rsidRPr="00172105" w:rsidTr="00970D13">
        <w:trPr>
          <w:gridAfter w:val="3"/>
          <w:wAfter w:w="75" w:type="dxa"/>
          <w:trHeight w:val="1958"/>
        </w:trPr>
        <w:tc>
          <w:tcPr>
            <w:tcW w:w="3958" w:type="dxa"/>
            <w:gridSpan w:val="6"/>
            <w:tcBorders>
              <w:bottom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Этап 1: Определение регионального компонента в приднестровском регионе. Общая характеристика реализации регионального компонента на кафедре декоративно-прикладного искусства.</w:t>
            </w:r>
          </w:p>
        </w:tc>
        <w:tc>
          <w:tcPr>
            <w:tcW w:w="2209" w:type="dxa"/>
            <w:gridSpan w:val="9"/>
            <w:vMerge/>
            <w:tcBorders>
              <w:bottom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gridSpan w:val="8"/>
            <w:tcBorders>
              <w:bottom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4979" w:type="dxa"/>
            <w:gridSpan w:val="8"/>
            <w:tcBorders>
              <w:bottom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Предполагается сбор и изучение литературных источников (книги, монографии, архивные документы, сборники статей) согласно заявленного </w:t>
            </w: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подэтапа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. Будут сформированы в широком и в узком понятии, определение региональный компонент, а также общая характеристика его реализации на кафедре ДПИ.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научные 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доклады и 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статьи</w:t>
            </w:r>
          </w:p>
        </w:tc>
      </w:tr>
      <w:tr w:rsidR="00CE37C8" w:rsidRPr="00172105" w:rsidTr="00970D13">
        <w:trPr>
          <w:gridAfter w:val="3"/>
          <w:wAfter w:w="75" w:type="dxa"/>
          <w:trHeight w:val="1126"/>
        </w:trPr>
        <w:tc>
          <w:tcPr>
            <w:tcW w:w="39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: Возращение к истокам академической школы изобразительного искусства Приднестровья</w:t>
            </w:r>
          </w:p>
        </w:tc>
        <w:tc>
          <w:tcPr>
            <w:tcW w:w="22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доц. 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А.М. </w:t>
            </w: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Мосийчук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ст. преп.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Р.В. </w:t>
            </w: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Коневникова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2028 г.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Будет исследована творческая деятельность художников педагогов и ее значение, влияние на образовательную деятельность в области искусства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доклады, 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статьи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7C8" w:rsidRPr="00172105" w:rsidTr="00970D13">
        <w:trPr>
          <w:gridAfter w:val="3"/>
          <w:wAfter w:w="75" w:type="dxa"/>
          <w:trHeight w:val="1409"/>
        </w:trPr>
        <w:tc>
          <w:tcPr>
            <w:tcW w:w="39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Этап 1: Основоположники высшей школы изобразительного искусства 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В процессе исследования будет изучено и структурирована творческая и педагогическая деятельность (Народного художника Приднестровья И.П. </w:t>
            </w: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Мосийчука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 и Заслуженного работника культуры Н.И. </w:t>
            </w: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Брозницкого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доклады, 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статьи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7C8" w:rsidRPr="00172105" w:rsidTr="00970D13">
        <w:trPr>
          <w:gridAfter w:val="3"/>
          <w:wAfter w:w="75" w:type="dxa"/>
          <w:trHeight w:val="832"/>
        </w:trPr>
        <w:tc>
          <w:tcPr>
            <w:tcW w:w="3958" w:type="dxa"/>
            <w:gridSpan w:val="6"/>
            <w:tcBorders>
              <w:top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: ЭОР в системе художественно-педагогического образования</w:t>
            </w:r>
          </w:p>
        </w:tc>
        <w:tc>
          <w:tcPr>
            <w:tcW w:w="2209" w:type="dxa"/>
            <w:gridSpan w:val="9"/>
            <w:vMerge w:val="restart"/>
            <w:tcBorders>
              <w:top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ст. преп.: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Л.В. Черная,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О.П. Ерохина 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2028 г.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9" w:type="dxa"/>
            <w:gridSpan w:val="8"/>
            <w:tcBorders>
              <w:top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Будут определены значимость и целесообразность ЭОР в системе художественно-педагогического образования в ВУЗе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статьи, доклады, семинары</w:t>
            </w:r>
          </w:p>
        </w:tc>
      </w:tr>
      <w:tr w:rsidR="00CE37C8" w:rsidRPr="00172105" w:rsidTr="00970D13">
        <w:trPr>
          <w:gridAfter w:val="3"/>
          <w:wAfter w:w="75" w:type="dxa"/>
          <w:trHeight w:val="1554"/>
        </w:trPr>
        <w:tc>
          <w:tcPr>
            <w:tcW w:w="3958" w:type="dxa"/>
            <w:gridSpan w:val="6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Этап 1: Организация самостоятельной работы будущих художников- педагогов с применением  ЭОР </w:t>
            </w:r>
          </w:p>
        </w:tc>
        <w:tc>
          <w:tcPr>
            <w:tcW w:w="2209" w:type="dxa"/>
            <w:gridSpan w:val="9"/>
            <w:vMerge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gridSpan w:val="8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350" w:type="dxa"/>
            <w:gridSpan w:val="4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4979" w:type="dxa"/>
            <w:gridSpan w:val="8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В процессе исследования будет определено значение самостоятельной работы будущих художников-педагогов, дизайнеров и возможности применения различных видов электронных образовательных ресурсов.</w:t>
            </w:r>
          </w:p>
        </w:tc>
        <w:tc>
          <w:tcPr>
            <w:tcW w:w="1918" w:type="dxa"/>
            <w:gridSpan w:val="3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статьи, доклады, семинары</w:t>
            </w:r>
          </w:p>
        </w:tc>
      </w:tr>
      <w:tr w:rsidR="00CE37C8" w:rsidRPr="00172105" w:rsidTr="00970D13">
        <w:trPr>
          <w:gridAfter w:val="3"/>
          <w:wAfter w:w="75" w:type="dxa"/>
          <w:trHeight w:val="853"/>
        </w:trPr>
        <w:tc>
          <w:tcPr>
            <w:tcW w:w="3958" w:type="dxa"/>
            <w:gridSpan w:val="6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: Инновационные педагогические методы в подготовке дизайнеров</w:t>
            </w:r>
          </w:p>
        </w:tc>
        <w:tc>
          <w:tcPr>
            <w:tcW w:w="2209" w:type="dxa"/>
            <w:gridSpan w:val="9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 xml:space="preserve">И.В. Филиппова </w:t>
            </w:r>
          </w:p>
        </w:tc>
        <w:tc>
          <w:tcPr>
            <w:tcW w:w="1604" w:type="dxa"/>
            <w:gridSpan w:val="8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gridSpan w:val="4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2028 г.</w:t>
            </w:r>
          </w:p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9" w:type="dxa"/>
            <w:gridSpan w:val="8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Будут изучены современные технологии в обучении студентов дизайнеров в системе высшего образования</w:t>
            </w:r>
          </w:p>
        </w:tc>
        <w:tc>
          <w:tcPr>
            <w:tcW w:w="1918" w:type="dxa"/>
            <w:gridSpan w:val="3"/>
          </w:tcPr>
          <w:p w:rsidR="00172105" w:rsidRPr="00172105" w:rsidRDefault="00172105" w:rsidP="0017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05">
              <w:rPr>
                <w:rFonts w:ascii="Times New Roman" w:eastAsia="Times New Roman" w:hAnsi="Times New Roman" w:cs="Times New Roman"/>
                <w:lang w:eastAsia="ru-RU"/>
              </w:rPr>
              <w:t>статьи, доклады</w:t>
            </w:r>
          </w:p>
        </w:tc>
      </w:tr>
      <w:tr w:rsidR="008E3F51" w:rsidRPr="00172105" w:rsidTr="00970D13">
        <w:trPr>
          <w:gridAfter w:val="3"/>
          <w:wAfter w:w="75" w:type="dxa"/>
          <w:trHeight w:val="416"/>
        </w:trPr>
        <w:tc>
          <w:tcPr>
            <w:tcW w:w="16018" w:type="dxa"/>
            <w:gridSpan w:val="38"/>
          </w:tcPr>
          <w:p w:rsidR="008E3F51" w:rsidRPr="00804F2B" w:rsidRDefault="008E3F51" w:rsidP="008E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F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Кафедра </w:t>
            </w:r>
            <w:r w:rsidRPr="00804F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автоматизации технологических проектов и производств</w:t>
            </w:r>
          </w:p>
        </w:tc>
      </w:tr>
      <w:tr w:rsidR="008E3F51" w:rsidRPr="006D2D6A" w:rsidTr="00970D13">
        <w:trPr>
          <w:gridAfter w:val="3"/>
          <w:wAfter w:w="75" w:type="dxa"/>
          <w:trHeight w:val="283"/>
        </w:trPr>
        <w:tc>
          <w:tcPr>
            <w:tcW w:w="16018" w:type="dxa"/>
            <w:gridSpan w:val="38"/>
            <w:vAlign w:val="center"/>
          </w:tcPr>
          <w:p w:rsidR="008E3F51" w:rsidRPr="00804F2B" w:rsidRDefault="008E3F51" w:rsidP="008E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F2B">
              <w:rPr>
                <w:rFonts w:ascii="Times New Roman" w:eastAsia="Times New Roman" w:hAnsi="Times New Roman" w:cs="Times New Roman"/>
                <w:b/>
                <w:lang w:eastAsia="ru-RU"/>
              </w:rPr>
              <w:t>Тема: «Цифровая трансформация промышленности и образования как фактор оценки и влияния на развитие региона»</w:t>
            </w:r>
          </w:p>
          <w:p w:rsidR="008E3F51" w:rsidRPr="00804F2B" w:rsidRDefault="008E3F51" w:rsidP="008E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F2B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исследования: 2021-2025 гг.</w:t>
            </w:r>
          </w:p>
        </w:tc>
      </w:tr>
      <w:tr w:rsidR="00970D13" w:rsidRPr="006D2D6A" w:rsidTr="00970D13">
        <w:trPr>
          <w:gridAfter w:val="3"/>
          <w:wAfter w:w="75" w:type="dxa"/>
          <w:trHeight w:val="1092"/>
        </w:trPr>
        <w:tc>
          <w:tcPr>
            <w:tcW w:w="3529" w:type="dxa"/>
            <w:gridSpan w:val="5"/>
          </w:tcPr>
          <w:p w:rsidR="008E3F51" w:rsidRPr="008E3F51" w:rsidRDefault="008E3F51" w:rsidP="008E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: Автоматизация технологических и производственных процессов промышленных предприятий.</w:t>
            </w:r>
          </w:p>
        </w:tc>
        <w:tc>
          <w:tcPr>
            <w:tcW w:w="1917" w:type="dxa"/>
            <w:gridSpan w:val="6"/>
          </w:tcPr>
          <w:p w:rsidR="008E3F51" w:rsidRPr="008E3F51" w:rsidRDefault="008E3F51" w:rsidP="008E3F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 xml:space="preserve">доц. </w:t>
            </w:r>
          </w:p>
          <w:p w:rsidR="008E3F51" w:rsidRPr="008E3F51" w:rsidRDefault="008E3F51" w:rsidP="008E3F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В.Е. Федоров</w:t>
            </w:r>
          </w:p>
        </w:tc>
        <w:tc>
          <w:tcPr>
            <w:tcW w:w="1271" w:type="dxa"/>
            <w:gridSpan w:val="7"/>
          </w:tcPr>
          <w:p w:rsidR="008E3F51" w:rsidRPr="008E3F51" w:rsidRDefault="008E3F51" w:rsidP="008E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8E3F51" w:rsidRPr="008E3F51" w:rsidRDefault="008E3F51" w:rsidP="008E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479" w:type="dxa"/>
            <w:gridSpan w:val="7"/>
          </w:tcPr>
          <w:p w:rsidR="008E3F51" w:rsidRPr="008E3F51" w:rsidRDefault="008E3F51" w:rsidP="008E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8E3F51" w:rsidRPr="008E3F51" w:rsidRDefault="008E3F51" w:rsidP="008E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5375" w:type="dxa"/>
            <w:gridSpan w:val="9"/>
          </w:tcPr>
          <w:p w:rsidR="008E3F51" w:rsidRPr="008E3F51" w:rsidRDefault="008E3F51" w:rsidP="008E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по автоматизации технологических и производственных процессов для промышленных предприятий ММЗ, РЦК, ГУП «Водоснабжение и водоотведение» с учетом применения цифровых технологий.</w:t>
            </w:r>
          </w:p>
        </w:tc>
        <w:tc>
          <w:tcPr>
            <w:tcW w:w="2447" w:type="dxa"/>
            <w:gridSpan w:val="4"/>
          </w:tcPr>
          <w:p w:rsidR="008E3F51" w:rsidRPr="008E3F51" w:rsidRDefault="008E3F51" w:rsidP="008E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Защита проектов. Научные статьи, доклады на конференциях и семинарах</w:t>
            </w:r>
          </w:p>
        </w:tc>
      </w:tr>
      <w:tr w:rsidR="00970D13" w:rsidRPr="006D2D6A" w:rsidTr="00970D13">
        <w:trPr>
          <w:gridAfter w:val="3"/>
          <w:wAfter w:w="75" w:type="dxa"/>
          <w:trHeight w:val="1116"/>
        </w:trPr>
        <w:tc>
          <w:tcPr>
            <w:tcW w:w="3529" w:type="dxa"/>
            <w:gridSpan w:val="5"/>
          </w:tcPr>
          <w:p w:rsidR="008E3F51" w:rsidRPr="008E3F51" w:rsidRDefault="008E3F51" w:rsidP="008E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 xml:space="preserve">:  Применение цифровых  технологий при модернизации предприятий аграрного сектора региона </w:t>
            </w:r>
          </w:p>
        </w:tc>
        <w:tc>
          <w:tcPr>
            <w:tcW w:w="1917" w:type="dxa"/>
            <w:gridSpan w:val="6"/>
          </w:tcPr>
          <w:p w:rsidR="008E3F51" w:rsidRPr="008E3F51" w:rsidRDefault="008E3F51" w:rsidP="008E3F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 xml:space="preserve">ст. преп. </w:t>
            </w:r>
          </w:p>
          <w:p w:rsidR="008E3F51" w:rsidRPr="008E3F51" w:rsidRDefault="008E3F51" w:rsidP="008E3F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 xml:space="preserve">П.С. </w:t>
            </w:r>
            <w:proofErr w:type="spellStart"/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Цвинкайло</w:t>
            </w:r>
            <w:proofErr w:type="spellEnd"/>
          </w:p>
        </w:tc>
        <w:tc>
          <w:tcPr>
            <w:tcW w:w="1271" w:type="dxa"/>
            <w:gridSpan w:val="7"/>
          </w:tcPr>
          <w:p w:rsidR="008E3F51" w:rsidRPr="008E3F51" w:rsidRDefault="008E3F51" w:rsidP="008E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8E3F51" w:rsidRPr="008E3F51" w:rsidRDefault="008E3F51" w:rsidP="008E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479" w:type="dxa"/>
            <w:gridSpan w:val="7"/>
          </w:tcPr>
          <w:p w:rsidR="008E3F51" w:rsidRPr="008E3F51" w:rsidRDefault="008E3F51" w:rsidP="008E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8E3F51" w:rsidRPr="008E3F51" w:rsidRDefault="008E3F51" w:rsidP="008E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5375" w:type="dxa"/>
            <w:gridSpan w:val="9"/>
          </w:tcPr>
          <w:p w:rsidR="008E3F51" w:rsidRPr="008E3F51" w:rsidRDefault="008E3F51" w:rsidP="008E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по модернизации автоматизированного оборудования с применением цифровых технологий для агропромышленных предприятий региона.</w:t>
            </w:r>
          </w:p>
        </w:tc>
        <w:tc>
          <w:tcPr>
            <w:tcW w:w="2447" w:type="dxa"/>
            <w:gridSpan w:val="4"/>
          </w:tcPr>
          <w:p w:rsidR="008E3F51" w:rsidRPr="008E3F51" w:rsidRDefault="008E3F51" w:rsidP="008E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Защита проектов. Научные статьи, доклады на конференциях и семинарах</w:t>
            </w:r>
          </w:p>
        </w:tc>
      </w:tr>
      <w:tr w:rsidR="00970D13" w:rsidRPr="006D2D6A" w:rsidTr="00970D13">
        <w:trPr>
          <w:gridAfter w:val="3"/>
          <w:wAfter w:w="75" w:type="dxa"/>
          <w:trHeight w:val="1116"/>
        </w:trPr>
        <w:tc>
          <w:tcPr>
            <w:tcW w:w="3529" w:type="dxa"/>
            <w:gridSpan w:val="5"/>
          </w:tcPr>
          <w:p w:rsidR="008E3F51" w:rsidRPr="008E3F51" w:rsidRDefault="008E3F51" w:rsidP="008E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 xml:space="preserve"> Автоматизация предприятий малого и среднего бизнеса с внедрением цифровых технологий</w:t>
            </w:r>
          </w:p>
        </w:tc>
        <w:tc>
          <w:tcPr>
            <w:tcW w:w="1917" w:type="dxa"/>
            <w:gridSpan w:val="6"/>
          </w:tcPr>
          <w:p w:rsidR="008E3F51" w:rsidRPr="008E3F51" w:rsidRDefault="008E3F51" w:rsidP="008E3F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 xml:space="preserve">ст. преп. </w:t>
            </w:r>
          </w:p>
          <w:p w:rsidR="008E3F51" w:rsidRPr="008E3F51" w:rsidRDefault="008E3F51" w:rsidP="008E3F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 xml:space="preserve">Б.К. </w:t>
            </w:r>
            <w:proofErr w:type="spellStart"/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Корлюга</w:t>
            </w:r>
            <w:proofErr w:type="spellEnd"/>
          </w:p>
        </w:tc>
        <w:tc>
          <w:tcPr>
            <w:tcW w:w="1271" w:type="dxa"/>
            <w:gridSpan w:val="7"/>
          </w:tcPr>
          <w:p w:rsidR="008E3F51" w:rsidRPr="008E3F51" w:rsidRDefault="008E3F51" w:rsidP="008E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8E3F51" w:rsidRPr="008E3F51" w:rsidRDefault="008E3F51" w:rsidP="008E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479" w:type="dxa"/>
            <w:gridSpan w:val="7"/>
          </w:tcPr>
          <w:p w:rsidR="008E3F51" w:rsidRPr="008E3F51" w:rsidRDefault="008E3F51" w:rsidP="008E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8E3F51" w:rsidRPr="008E3F51" w:rsidRDefault="008E3F51" w:rsidP="008E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5375" w:type="dxa"/>
            <w:gridSpan w:val="9"/>
          </w:tcPr>
          <w:p w:rsidR="008E3F51" w:rsidRPr="008E3F51" w:rsidRDefault="008E3F51" w:rsidP="008E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проектов с применением цифровых технологий по автоматизации предприятий малого и среднего бизнеса </w:t>
            </w:r>
          </w:p>
        </w:tc>
        <w:tc>
          <w:tcPr>
            <w:tcW w:w="2447" w:type="dxa"/>
            <w:gridSpan w:val="4"/>
          </w:tcPr>
          <w:p w:rsidR="008E3F51" w:rsidRPr="008E3F51" w:rsidRDefault="008E3F51" w:rsidP="008E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1">
              <w:rPr>
                <w:rFonts w:ascii="Times New Roman" w:eastAsia="Times New Roman" w:hAnsi="Times New Roman" w:cs="Times New Roman"/>
                <w:lang w:eastAsia="ru-RU"/>
              </w:rPr>
              <w:t>Защита проектов. Научные статьи, доклады на конференциях и семинарах</w:t>
            </w:r>
          </w:p>
        </w:tc>
      </w:tr>
      <w:tr w:rsidR="00970D13" w:rsidRPr="006D2D6A" w:rsidTr="00970D13">
        <w:trPr>
          <w:gridAfter w:val="3"/>
          <w:wAfter w:w="75" w:type="dxa"/>
          <w:trHeight w:val="1116"/>
        </w:trPr>
        <w:tc>
          <w:tcPr>
            <w:tcW w:w="3529" w:type="dxa"/>
            <w:gridSpan w:val="5"/>
          </w:tcPr>
          <w:p w:rsidR="008E3F51" w:rsidRPr="00804F2B" w:rsidRDefault="008E3F51" w:rsidP="0080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F2B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804F2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804F2B">
              <w:rPr>
                <w:rFonts w:ascii="Times New Roman" w:eastAsia="Times New Roman" w:hAnsi="Times New Roman" w:cs="Times New Roman"/>
                <w:lang w:eastAsia="ru-RU"/>
              </w:rPr>
              <w:t>Цифровизация</w:t>
            </w:r>
            <w:proofErr w:type="spellEnd"/>
            <w:r w:rsidRPr="00804F2B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современного образования как фактор </w:t>
            </w:r>
            <w:proofErr w:type="spellStart"/>
            <w:r w:rsidRPr="00804F2B">
              <w:rPr>
                <w:rFonts w:ascii="Times New Roman" w:eastAsia="Times New Roman" w:hAnsi="Times New Roman" w:cs="Times New Roman"/>
                <w:lang w:eastAsia="ru-RU"/>
              </w:rPr>
              <w:t>техносферизации</w:t>
            </w:r>
            <w:proofErr w:type="spellEnd"/>
            <w:r w:rsidRPr="00804F2B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современного общества</w:t>
            </w:r>
          </w:p>
        </w:tc>
        <w:tc>
          <w:tcPr>
            <w:tcW w:w="1917" w:type="dxa"/>
            <w:gridSpan w:val="6"/>
          </w:tcPr>
          <w:p w:rsidR="008E3F51" w:rsidRPr="00804F2B" w:rsidRDefault="008E3F51" w:rsidP="00804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F2B">
              <w:rPr>
                <w:rFonts w:ascii="Times New Roman" w:eastAsia="Times New Roman" w:hAnsi="Times New Roman" w:cs="Times New Roman"/>
                <w:lang w:eastAsia="ru-RU"/>
              </w:rPr>
              <w:t xml:space="preserve">ст. преп. </w:t>
            </w:r>
          </w:p>
          <w:p w:rsidR="008E3F51" w:rsidRPr="00804F2B" w:rsidRDefault="008E3F51" w:rsidP="00804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F2B">
              <w:rPr>
                <w:rFonts w:ascii="Times New Roman" w:eastAsia="Times New Roman" w:hAnsi="Times New Roman" w:cs="Times New Roman"/>
                <w:lang w:eastAsia="ru-RU"/>
              </w:rPr>
              <w:t>Т.А. Колесник</w:t>
            </w:r>
          </w:p>
        </w:tc>
        <w:tc>
          <w:tcPr>
            <w:tcW w:w="1271" w:type="dxa"/>
            <w:gridSpan w:val="7"/>
          </w:tcPr>
          <w:p w:rsidR="008E3F51" w:rsidRPr="00804F2B" w:rsidRDefault="008E3F51" w:rsidP="0080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F2B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8E3F51" w:rsidRPr="00804F2B" w:rsidRDefault="008E3F51" w:rsidP="0080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F2B">
              <w:rPr>
                <w:rFonts w:ascii="Times New Roman" w:eastAsia="Times New Roman" w:hAnsi="Times New Roman" w:cs="Times New Roman"/>
                <w:lang w:eastAsia="ru-RU"/>
              </w:rPr>
              <w:t>2024 г..</w:t>
            </w:r>
          </w:p>
        </w:tc>
        <w:tc>
          <w:tcPr>
            <w:tcW w:w="1479" w:type="dxa"/>
            <w:gridSpan w:val="7"/>
          </w:tcPr>
          <w:p w:rsidR="008E3F51" w:rsidRPr="00804F2B" w:rsidRDefault="008E3F51" w:rsidP="0080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F2B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8E3F51" w:rsidRPr="00804F2B" w:rsidRDefault="008E3F51" w:rsidP="0080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F2B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5375" w:type="dxa"/>
            <w:gridSpan w:val="9"/>
          </w:tcPr>
          <w:p w:rsidR="008E3F51" w:rsidRPr="00804F2B" w:rsidRDefault="008E3F51" w:rsidP="0080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F2B">
              <w:rPr>
                <w:rFonts w:ascii="Times New Roman" w:eastAsia="Times New Roman" w:hAnsi="Times New Roman" w:cs="Times New Roman"/>
                <w:lang w:eastAsia="ru-RU"/>
              </w:rPr>
              <w:t>Анализ и оценка последствий внедрения цифровых технологий в образование</w:t>
            </w:r>
          </w:p>
        </w:tc>
        <w:tc>
          <w:tcPr>
            <w:tcW w:w="2447" w:type="dxa"/>
            <w:gridSpan w:val="4"/>
          </w:tcPr>
          <w:p w:rsidR="008E3F51" w:rsidRPr="00804F2B" w:rsidRDefault="008E3F51" w:rsidP="0080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F2B">
              <w:rPr>
                <w:rFonts w:ascii="Times New Roman" w:eastAsia="Times New Roman" w:hAnsi="Times New Roman" w:cs="Times New Roman"/>
                <w:lang w:eastAsia="ru-RU"/>
              </w:rPr>
              <w:t>Научные статьи, доклады на конференциях и семинарах</w:t>
            </w:r>
          </w:p>
        </w:tc>
      </w:tr>
      <w:tr w:rsidR="00CE37C8" w:rsidRPr="00CE37C8" w:rsidTr="009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2"/>
          <w:wAfter w:w="59" w:type="dxa"/>
          <w:trHeight w:val="115"/>
        </w:trPr>
        <w:tc>
          <w:tcPr>
            <w:tcW w:w="16034" w:type="dxa"/>
            <w:gridSpan w:val="39"/>
          </w:tcPr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Кафедра германских языков и методики их преподавания</w:t>
            </w:r>
          </w:p>
        </w:tc>
      </w:tr>
      <w:tr w:rsidR="00CE37C8" w:rsidTr="009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47" w:type="dxa"/>
          <w:trHeight w:val="283"/>
        </w:trPr>
        <w:tc>
          <w:tcPr>
            <w:tcW w:w="16046" w:type="dxa"/>
            <w:gridSpan w:val="40"/>
          </w:tcPr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Тема: «Лингвистические и методические аспекты в формировании профессиональной компетентности студентов» (2023 – 2027 гг.) </w:t>
            </w:r>
          </w:p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Направление: «Лингвистика, педагогика и методика преподавания иностранных языков»</w:t>
            </w:r>
          </w:p>
        </w:tc>
      </w:tr>
      <w:tr w:rsidR="00970D13" w:rsidRPr="00CE37C8" w:rsidTr="009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2"/>
          <w:wAfter w:w="59" w:type="dxa"/>
          <w:trHeight w:val="1855"/>
        </w:trPr>
        <w:tc>
          <w:tcPr>
            <w:tcW w:w="4102" w:type="dxa"/>
            <w:gridSpan w:val="8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eading=h.30j0zll" w:colFirst="0" w:colLast="0"/>
            <w:bookmarkEnd w:id="1"/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: Эффективные приемы и формы работы на занятиях по иностранному языку в рамках применения CLIL-технологии</w:t>
            </w:r>
          </w:p>
        </w:tc>
        <w:tc>
          <w:tcPr>
            <w:tcW w:w="2405" w:type="dxa"/>
            <w:gridSpan w:val="9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ст. преп. 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Н.П. Новицкая,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доц. 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А.Н. Руссу 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gridSpan w:val="7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16" w:type="dxa"/>
            <w:gridSpan w:val="4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5095" w:type="dxa"/>
            <w:gridSpan w:val="8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В исследовании будут освещены актуальность применения интегрированного подхода CLIL, преимущества и недостатки внедрения CLIL в образовательный процесс. Также будут рассмотрены эффективные приемы и формы работы, которые можно использовать на различных этапах занятия по иностранному языку в рамках предметно-интегрированного обучения. </w:t>
            </w:r>
          </w:p>
        </w:tc>
        <w:tc>
          <w:tcPr>
            <w:tcW w:w="1786" w:type="dxa"/>
            <w:gridSpan w:val="3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Доклад,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научная публикация</w:t>
            </w:r>
          </w:p>
        </w:tc>
      </w:tr>
      <w:tr w:rsidR="00970D13" w:rsidRPr="00CE37C8" w:rsidTr="009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2"/>
          <w:wAfter w:w="59" w:type="dxa"/>
          <w:trHeight w:val="77"/>
        </w:trPr>
        <w:tc>
          <w:tcPr>
            <w:tcW w:w="4102" w:type="dxa"/>
            <w:gridSpan w:val="8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: Формирование критического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вокабуляра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процессе обучения иностранным языкам</w:t>
            </w:r>
          </w:p>
        </w:tc>
        <w:tc>
          <w:tcPr>
            <w:tcW w:w="2405" w:type="dxa"/>
            <w:gridSpan w:val="9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доц. 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В.Г. Егорова </w:t>
            </w:r>
          </w:p>
        </w:tc>
        <w:tc>
          <w:tcPr>
            <w:tcW w:w="1430" w:type="dxa"/>
            <w:gridSpan w:val="7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16" w:type="dxa"/>
            <w:gridSpan w:val="4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5095" w:type="dxa"/>
            <w:gridSpan w:val="8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Будет изучена суть и значение понятий «критическое мышление», «критический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вокабуляр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», определены способы их формирования у обучающихся в процессе обучения иностранному языку. Планируется разработка дидактических материалов для организации учебной деятельности обучающихся, направленной на развитие их критического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вокабуляра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 и усовершенствование умений критически мыслить.</w:t>
            </w:r>
          </w:p>
        </w:tc>
        <w:tc>
          <w:tcPr>
            <w:tcW w:w="1786" w:type="dxa"/>
            <w:gridSpan w:val="3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Доклад,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научная публикация</w:t>
            </w:r>
          </w:p>
        </w:tc>
      </w:tr>
      <w:tr w:rsidR="00970D13" w:rsidRPr="00CE37C8" w:rsidTr="009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2"/>
          <w:wAfter w:w="59" w:type="dxa"/>
          <w:trHeight w:val="749"/>
        </w:trPr>
        <w:tc>
          <w:tcPr>
            <w:tcW w:w="4102" w:type="dxa"/>
            <w:gridSpan w:val="8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: Видеоматериалы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Ted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Talks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 как образовательный инструмент в обучении иностранному языку в высшей школе</w:t>
            </w:r>
          </w:p>
        </w:tc>
        <w:tc>
          <w:tcPr>
            <w:tcW w:w="2405" w:type="dxa"/>
            <w:gridSpan w:val="9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доц. 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Е.В.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Соловьянова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30" w:type="dxa"/>
            <w:gridSpan w:val="7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16" w:type="dxa"/>
            <w:gridSpan w:val="4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5095" w:type="dxa"/>
            <w:gridSpan w:val="8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Будет изучено общее понятие научно-популярной лекции, а </w:t>
            </w:r>
            <w:proofErr w:type="gram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также  особенности</w:t>
            </w:r>
            <w:proofErr w:type="gram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 лекции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Ted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Talks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 как ее жанровой разновидности. Будет представлен алгоритм работы с выступлениями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Ted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Talks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 применительно к обучению иностранному языку. Будут сформулированы основные критерии отбора видеоматериалов с учетом языкового уровня студентов. планируется разработка практических заданий, сопровождающих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преддемонстрационный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, демонстрационный и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последемонстрационный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 этапы организации образовательного процесса посредством лекций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Ted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Talks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786" w:type="dxa"/>
            <w:gridSpan w:val="3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Доклад,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научная публикация</w:t>
            </w:r>
          </w:p>
        </w:tc>
      </w:tr>
      <w:tr w:rsidR="00970D13" w:rsidRPr="00CE37C8" w:rsidTr="009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2"/>
          <w:wAfter w:w="59" w:type="dxa"/>
          <w:trHeight w:val="240"/>
        </w:trPr>
        <w:tc>
          <w:tcPr>
            <w:tcW w:w="410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: Формирование  грамматического компонента лингвистической компетенции с помощью Интернет-технологий</w:t>
            </w:r>
          </w:p>
        </w:tc>
        <w:tc>
          <w:tcPr>
            <w:tcW w:w="2405" w:type="dxa"/>
            <w:gridSpan w:val="9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доц. 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О.Г.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Статник</w:t>
            </w:r>
            <w:proofErr w:type="spellEnd"/>
          </w:p>
        </w:tc>
        <w:tc>
          <w:tcPr>
            <w:tcW w:w="1430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1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095" w:type="dxa"/>
            <w:gridSpan w:val="8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Планируется изучить содержание грамматического компонента лингвистической компетенции, различные приемы работы над грамматическим материалом, проанализировать материал образовательных Интернет-сайтов. В результате исследования предполагается разработать комплекс упражнений, способствующих формированию грамматического компонента.</w:t>
            </w:r>
          </w:p>
        </w:tc>
        <w:tc>
          <w:tcPr>
            <w:tcW w:w="1786" w:type="dxa"/>
            <w:gridSpan w:val="3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Доклад,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научная публикация</w:t>
            </w:r>
          </w:p>
        </w:tc>
      </w:tr>
      <w:tr w:rsidR="00970D13" w:rsidRPr="00CE37C8" w:rsidTr="009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2"/>
          <w:wAfter w:w="59" w:type="dxa"/>
          <w:trHeight w:val="77"/>
        </w:trPr>
        <w:tc>
          <w:tcPr>
            <w:tcW w:w="4102" w:type="dxa"/>
            <w:gridSpan w:val="8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Силлабус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 в практике преподавания иностранного (английского) языка в вузе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gridSpan w:val="9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доц.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О.Ф.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Задобривская</w:t>
            </w:r>
            <w:proofErr w:type="spellEnd"/>
          </w:p>
        </w:tc>
        <w:tc>
          <w:tcPr>
            <w:tcW w:w="1430" w:type="dxa"/>
            <w:gridSpan w:val="7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16" w:type="dxa"/>
            <w:gridSpan w:val="4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5095" w:type="dxa"/>
            <w:gridSpan w:val="8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Будет представлен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силлабус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, который выполняет множество функций как во время занятий в аудитории, так и за ее пределами. Предметом исследования является процесс совершенствования навыков и умений при изучении темы “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Difficult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Children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” в рамках дисциплины «Практика устной и письменной речи (английский язык)» обучающимися на ступени высшего образования.</w:t>
            </w:r>
          </w:p>
        </w:tc>
        <w:tc>
          <w:tcPr>
            <w:tcW w:w="1786" w:type="dxa"/>
            <w:gridSpan w:val="3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Доклад,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научная публикация</w:t>
            </w:r>
          </w:p>
        </w:tc>
      </w:tr>
      <w:tr w:rsidR="00970D13" w:rsidRPr="00CE37C8" w:rsidTr="009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2"/>
          <w:wAfter w:w="59" w:type="dxa"/>
          <w:trHeight w:val="77"/>
        </w:trPr>
        <w:tc>
          <w:tcPr>
            <w:tcW w:w="4102" w:type="dxa"/>
            <w:gridSpan w:val="8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: Повышение уровня благополучия (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well-being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) школьников с помощью активных форм работы на уроке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gridSpan w:val="9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ст. преп. 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А.С. Подолян </w:t>
            </w:r>
          </w:p>
        </w:tc>
        <w:tc>
          <w:tcPr>
            <w:tcW w:w="1430" w:type="dxa"/>
            <w:gridSpan w:val="7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16" w:type="dxa"/>
            <w:gridSpan w:val="4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5095" w:type="dxa"/>
            <w:gridSpan w:val="8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Будут описаны преимущества активных форм работы на уроке, объясняющие целесообразность их использования в целях повышения уровня благополучия школьников; рассмотрена «охота» как активная форма работы на уроке, виды и алгоритм ее организации, а также способ оценки благополучия школьников.</w:t>
            </w:r>
          </w:p>
        </w:tc>
        <w:tc>
          <w:tcPr>
            <w:tcW w:w="1786" w:type="dxa"/>
            <w:gridSpan w:val="3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Доклад,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научная публикация,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глава монографии</w:t>
            </w:r>
          </w:p>
        </w:tc>
      </w:tr>
      <w:tr w:rsidR="00970D13" w:rsidRPr="00CE37C8" w:rsidTr="009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2"/>
          <w:wAfter w:w="59" w:type="dxa"/>
          <w:trHeight w:val="77"/>
        </w:trPr>
        <w:tc>
          <w:tcPr>
            <w:tcW w:w="4102" w:type="dxa"/>
            <w:gridSpan w:val="8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: Использование на занятиях по практике устной и письменной речи английского языка автоматизированной корректирующей обратной связи для улучшения навыков письменной речи студентов</w:t>
            </w:r>
          </w:p>
        </w:tc>
        <w:tc>
          <w:tcPr>
            <w:tcW w:w="2405" w:type="dxa"/>
            <w:gridSpan w:val="9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ст. преп. 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Н.Л. Мартынюк </w:t>
            </w:r>
          </w:p>
        </w:tc>
        <w:tc>
          <w:tcPr>
            <w:tcW w:w="1430" w:type="dxa"/>
            <w:gridSpan w:val="7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16" w:type="dxa"/>
            <w:gridSpan w:val="4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5095" w:type="dxa"/>
            <w:gridSpan w:val="8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В исследовании будут освящены приемы работы с программой, способствующей автоматизированной корректирующей обратной связи на письменные работы студентов с целью интенсификации навыков письма студентов; рассмотрены этапы и возможности использования на занятиях по практике устной и письменной речи со студентами первого курса.</w:t>
            </w:r>
          </w:p>
        </w:tc>
        <w:tc>
          <w:tcPr>
            <w:tcW w:w="1786" w:type="dxa"/>
            <w:gridSpan w:val="3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Доклад,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научная публикация</w:t>
            </w:r>
          </w:p>
        </w:tc>
      </w:tr>
      <w:tr w:rsidR="00CE37C8" w:rsidRPr="00A76023" w:rsidTr="00970D13">
        <w:trPr>
          <w:trHeight w:val="362"/>
        </w:trPr>
        <w:tc>
          <w:tcPr>
            <w:tcW w:w="16093" w:type="dxa"/>
            <w:gridSpan w:val="41"/>
          </w:tcPr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Кафедра менеджмента</w:t>
            </w:r>
          </w:p>
        </w:tc>
      </w:tr>
      <w:tr w:rsidR="00CE37C8" w:rsidRPr="00A76023" w:rsidTr="00970D13">
        <w:trPr>
          <w:trHeight w:val="283"/>
        </w:trPr>
        <w:tc>
          <w:tcPr>
            <w:tcW w:w="16093" w:type="dxa"/>
            <w:gridSpan w:val="41"/>
          </w:tcPr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Тема: «Развитие экономики как основа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народосбережения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Республики» (2022 – 2026 гг.)</w:t>
            </w:r>
          </w:p>
        </w:tc>
      </w:tr>
      <w:tr w:rsidR="00CE37C8" w:rsidRPr="00A76023" w:rsidTr="00970D13">
        <w:trPr>
          <w:trHeight w:val="283"/>
        </w:trPr>
        <w:tc>
          <w:tcPr>
            <w:tcW w:w="3260" w:type="dxa"/>
            <w:gridSpan w:val="3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: Адаптация предприятий к новым условиям хозяйствования как фактор их финансовой устойчивости</w:t>
            </w:r>
          </w:p>
        </w:tc>
        <w:tc>
          <w:tcPr>
            <w:tcW w:w="1985" w:type="dxa"/>
            <w:gridSpan w:val="7"/>
          </w:tcPr>
          <w:p w:rsidR="00CE37C8" w:rsidRPr="00CE37C8" w:rsidRDefault="00CE37C8" w:rsidP="00CE3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проф.</w:t>
            </w:r>
          </w:p>
          <w:p w:rsidR="00CE37C8" w:rsidRPr="00CE37C8" w:rsidRDefault="00CE37C8" w:rsidP="00CE3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М.И.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Трач</w:t>
            </w:r>
            <w:proofErr w:type="spellEnd"/>
          </w:p>
          <w:p w:rsidR="00CE37C8" w:rsidRPr="00CE37C8" w:rsidRDefault="00CE37C8" w:rsidP="00CE3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доц.</w:t>
            </w:r>
          </w:p>
          <w:p w:rsidR="00CE37C8" w:rsidRPr="00CE37C8" w:rsidRDefault="00CE37C8" w:rsidP="00CE3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Д.М.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Трач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7" w:type="dxa"/>
            <w:gridSpan w:val="6"/>
          </w:tcPr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442" w:type="dxa"/>
            <w:gridSpan w:val="6"/>
          </w:tcPr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4297" w:type="dxa"/>
            <w:gridSpan w:val="8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Анализ внутренней и внешней среды деятельности предприятий и выработка рекомендаций к ним</w:t>
            </w:r>
          </w:p>
        </w:tc>
        <w:tc>
          <w:tcPr>
            <w:tcW w:w="4032" w:type="dxa"/>
            <w:gridSpan w:val="11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Использование материалов в процессе подготовки докторской диссертации. Подготовка научных публикаций. Использование в учебном процессе, в подготовке научных кадров, процессе руководства научно-исследовательской работой студентов, в процессе руководства выпускными квалификационными работами. Подготовка докладов на научно-практические конференции и научные семинары кафедры.</w:t>
            </w:r>
          </w:p>
        </w:tc>
      </w:tr>
      <w:tr w:rsidR="00CE37C8" w:rsidRPr="00A76023" w:rsidTr="00970D13">
        <w:trPr>
          <w:trHeight w:val="283"/>
        </w:trPr>
        <w:tc>
          <w:tcPr>
            <w:tcW w:w="3260" w:type="dxa"/>
            <w:gridSpan w:val="3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: Оптимизация организаций образования Северного региона</w:t>
            </w:r>
          </w:p>
        </w:tc>
        <w:tc>
          <w:tcPr>
            <w:tcW w:w="1985" w:type="dxa"/>
            <w:gridSpan w:val="7"/>
          </w:tcPr>
          <w:p w:rsidR="00CE37C8" w:rsidRPr="00CE37C8" w:rsidRDefault="00CE37C8" w:rsidP="00CE3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доц.</w:t>
            </w:r>
          </w:p>
          <w:p w:rsidR="00CE37C8" w:rsidRPr="00CE37C8" w:rsidRDefault="00CE37C8" w:rsidP="00CE3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Г.М.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Брадик</w:t>
            </w:r>
            <w:proofErr w:type="spellEnd"/>
          </w:p>
        </w:tc>
        <w:tc>
          <w:tcPr>
            <w:tcW w:w="1077" w:type="dxa"/>
            <w:gridSpan w:val="6"/>
          </w:tcPr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442" w:type="dxa"/>
            <w:gridSpan w:val="6"/>
          </w:tcPr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4297" w:type="dxa"/>
            <w:gridSpan w:val="8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Разработка рекомендаций по оптимизации размещения организаций образования. Анализ эффективности функционирования организаций образования Северного региона.</w:t>
            </w:r>
          </w:p>
        </w:tc>
        <w:tc>
          <w:tcPr>
            <w:tcW w:w="4032" w:type="dxa"/>
            <w:gridSpan w:val="11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Подготовка научных публикаций. Использование в учебном процессе, в процессе руководства научно-исследовательской работой студентов, в процессе руководства выпускными квалификационными работами. Подготовка доклада на научно-практическую конференцию</w:t>
            </w:r>
          </w:p>
        </w:tc>
      </w:tr>
      <w:tr w:rsidR="00CE37C8" w:rsidRPr="00A76023" w:rsidTr="00970D13">
        <w:trPr>
          <w:trHeight w:val="283"/>
        </w:trPr>
        <w:tc>
          <w:tcPr>
            <w:tcW w:w="3260" w:type="dxa"/>
            <w:gridSpan w:val="3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: Проблемы занятости в малом бизнесе ПМР</w:t>
            </w:r>
          </w:p>
        </w:tc>
        <w:tc>
          <w:tcPr>
            <w:tcW w:w="1985" w:type="dxa"/>
            <w:gridSpan w:val="7"/>
          </w:tcPr>
          <w:p w:rsidR="00CE37C8" w:rsidRPr="00CE37C8" w:rsidRDefault="00CE37C8" w:rsidP="00CE3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ст. преп. </w:t>
            </w:r>
          </w:p>
          <w:p w:rsidR="00CE37C8" w:rsidRPr="00CE37C8" w:rsidRDefault="00CE37C8" w:rsidP="00CE3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Е.С.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Козьма</w:t>
            </w:r>
            <w:proofErr w:type="spellEnd"/>
          </w:p>
        </w:tc>
        <w:tc>
          <w:tcPr>
            <w:tcW w:w="1077" w:type="dxa"/>
            <w:gridSpan w:val="6"/>
          </w:tcPr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442" w:type="dxa"/>
            <w:gridSpan w:val="6"/>
          </w:tcPr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4297" w:type="dxa"/>
            <w:gridSpan w:val="8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занятости в малом бизнесе ПМР. Оценка трудовых ресурсов и трудового потенциала малого бизнеса ПМР и Северного региона ПМР. Исследование факторов трудового потенциала малого бизнеса ПМР с точки зрения </w:t>
            </w: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народосбережения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региона.</w:t>
            </w:r>
          </w:p>
        </w:tc>
        <w:tc>
          <w:tcPr>
            <w:tcW w:w="4032" w:type="dxa"/>
            <w:gridSpan w:val="11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Подготовка научных публикаций. Использование в учебном процессе, в процессе руководства научно-исследовательской работой студентов, в процессе руководства выпускными квалификационными работами. Подготовка доклада на научно-практическую конференцию</w:t>
            </w:r>
          </w:p>
        </w:tc>
      </w:tr>
      <w:tr w:rsidR="00CE37C8" w:rsidRPr="00A76023" w:rsidTr="00970D13">
        <w:trPr>
          <w:trHeight w:val="283"/>
        </w:trPr>
        <w:tc>
          <w:tcPr>
            <w:tcW w:w="3260" w:type="dxa"/>
            <w:gridSpan w:val="3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: Особенности применения ESG-принципов при формировании проектов государственно-частного партнерства в социальной сфере</w:t>
            </w:r>
          </w:p>
        </w:tc>
        <w:tc>
          <w:tcPr>
            <w:tcW w:w="1985" w:type="dxa"/>
            <w:gridSpan w:val="7"/>
          </w:tcPr>
          <w:p w:rsidR="00CE37C8" w:rsidRPr="00CE37C8" w:rsidRDefault="00CE37C8" w:rsidP="00CE3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ст. преп. </w:t>
            </w:r>
          </w:p>
          <w:p w:rsidR="00CE37C8" w:rsidRPr="00CE37C8" w:rsidRDefault="00CE37C8" w:rsidP="00CE3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П.А. Кравченко</w:t>
            </w:r>
          </w:p>
        </w:tc>
        <w:tc>
          <w:tcPr>
            <w:tcW w:w="1077" w:type="dxa"/>
            <w:gridSpan w:val="6"/>
          </w:tcPr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442" w:type="dxa"/>
            <w:gridSpan w:val="6"/>
          </w:tcPr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4297" w:type="dxa"/>
            <w:gridSpan w:val="8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Построение модели внедрения ESG-принципов по стадиям жизненного цикла проекта государственно-частного партнерства в социальной сфере.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Исследование опыта зарубежных стран по применению ESG-принципов в практике управления предприятием.</w:t>
            </w:r>
          </w:p>
        </w:tc>
        <w:tc>
          <w:tcPr>
            <w:tcW w:w="4032" w:type="dxa"/>
            <w:gridSpan w:val="11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Использование материала при написании диссертационного исследования.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Подготовка научных публикаций. Использование в учебном процессе, в процессе руководства научно-исследовательской работой студентов, в процессе руководства выпускными квалификационными работами. Подготовка доклада на научно-практическую конференцию.</w:t>
            </w:r>
          </w:p>
        </w:tc>
      </w:tr>
      <w:tr w:rsidR="00CE37C8" w:rsidRPr="00A76023" w:rsidTr="00970D13">
        <w:trPr>
          <w:trHeight w:val="283"/>
        </w:trPr>
        <w:tc>
          <w:tcPr>
            <w:tcW w:w="3260" w:type="dxa"/>
            <w:gridSpan w:val="3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: Анализ управления народосбережением в ПМР</w:t>
            </w:r>
          </w:p>
        </w:tc>
        <w:tc>
          <w:tcPr>
            <w:tcW w:w="1985" w:type="dxa"/>
            <w:gridSpan w:val="7"/>
          </w:tcPr>
          <w:p w:rsidR="00CE37C8" w:rsidRPr="00CE37C8" w:rsidRDefault="00CE37C8" w:rsidP="00CE3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доц.</w:t>
            </w:r>
          </w:p>
          <w:p w:rsidR="00CE37C8" w:rsidRPr="00CE37C8" w:rsidRDefault="00CE37C8" w:rsidP="00CE3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Л.Д. Мельничук</w:t>
            </w:r>
          </w:p>
          <w:p w:rsidR="00CE37C8" w:rsidRPr="00CE37C8" w:rsidRDefault="00CE37C8" w:rsidP="00CE3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ст. преп. </w:t>
            </w:r>
          </w:p>
          <w:p w:rsidR="00CE37C8" w:rsidRPr="00CE37C8" w:rsidRDefault="00CE37C8" w:rsidP="00CE3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Н.Г. Луговая</w:t>
            </w:r>
          </w:p>
        </w:tc>
        <w:tc>
          <w:tcPr>
            <w:tcW w:w="1077" w:type="dxa"/>
            <w:gridSpan w:val="6"/>
          </w:tcPr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442" w:type="dxa"/>
            <w:gridSpan w:val="6"/>
          </w:tcPr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CE37C8" w:rsidRPr="00CE37C8" w:rsidRDefault="00CE37C8" w:rsidP="00CE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4297" w:type="dxa"/>
            <w:gridSpan w:val="8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социально-экономического развития региона. Анализ занятости трудоспособного населения. Разработка рекомендаций по улучшению социально-экономического развития региона. 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Изучение показателей оценки демографической ситуации региона.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2" w:type="dxa"/>
            <w:gridSpan w:val="11"/>
          </w:tcPr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Использование материала при написании диссертационного исследования.</w:t>
            </w:r>
          </w:p>
          <w:p w:rsidR="00CE37C8" w:rsidRPr="00CE37C8" w:rsidRDefault="00CE37C8" w:rsidP="00CE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C8">
              <w:rPr>
                <w:rFonts w:ascii="Times New Roman" w:eastAsia="Times New Roman" w:hAnsi="Times New Roman" w:cs="Times New Roman"/>
                <w:lang w:eastAsia="ru-RU"/>
              </w:rPr>
              <w:t>Подготовка научных публикаций. Использование в учебном процессе, в процессе руководства выпускными квалификационными работами. Подготовка доклада на научно-практическую конференцию</w:t>
            </w:r>
          </w:p>
        </w:tc>
      </w:tr>
      <w:tr w:rsidR="00970D13" w:rsidRPr="00A76023" w:rsidTr="00970D13">
        <w:trPr>
          <w:trHeight w:val="283"/>
        </w:trPr>
        <w:tc>
          <w:tcPr>
            <w:tcW w:w="16093" w:type="dxa"/>
            <w:gridSpan w:val="41"/>
          </w:tcPr>
          <w:p w:rsidR="00970D13" w:rsidRPr="00970D13" w:rsidRDefault="00970D13" w:rsidP="009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Кафедра социально-культурных дисциплин</w:t>
            </w:r>
          </w:p>
        </w:tc>
      </w:tr>
      <w:tr w:rsidR="00970D13" w:rsidRPr="006D2D6A" w:rsidTr="00970D13">
        <w:trPr>
          <w:gridAfter w:val="3"/>
          <w:wAfter w:w="75" w:type="dxa"/>
          <w:trHeight w:val="283"/>
        </w:trPr>
        <w:tc>
          <w:tcPr>
            <w:tcW w:w="16018" w:type="dxa"/>
            <w:gridSpan w:val="38"/>
          </w:tcPr>
          <w:p w:rsidR="00970D13" w:rsidRPr="00970D13" w:rsidRDefault="00970D13" w:rsidP="009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Тема: «Социокультурное развитие на региональном уровне в современных </w:t>
            </w:r>
            <w:proofErr w:type="gramStart"/>
            <w:r w:rsidRPr="00970D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условиях(</w:t>
            </w:r>
            <w:proofErr w:type="gramEnd"/>
            <w:r w:rsidRPr="00970D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2021–2025 гг.)</w:t>
            </w:r>
          </w:p>
          <w:p w:rsidR="00970D13" w:rsidRPr="00970D13" w:rsidRDefault="00970D13" w:rsidP="009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Направление  «Культурное наследие региона»</w:t>
            </w:r>
          </w:p>
        </w:tc>
      </w:tr>
      <w:tr w:rsidR="00970D13" w:rsidRPr="00970D13" w:rsidTr="00970D13">
        <w:trPr>
          <w:gridAfter w:val="3"/>
          <w:wAfter w:w="75" w:type="dxa"/>
          <w:trHeight w:val="1855"/>
        </w:trPr>
        <w:tc>
          <w:tcPr>
            <w:tcW w:w="3106" w:type="dxa"/>
            <w:gridSpan w:val="2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Этап 4: Любительское направление в системе народной художественной культуры Приднестровья. 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4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доц.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Т.А. </w:t>
            </w:r>
            <w:proofErr w:type="spell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Лозан</w:t>
            </w:r>
            <w:proofErr w:type="spellEnd"/>
          </w:p>
        </w:tc>
        <w:tc>
          <w:tcPr>
            <w:tcW w:w="987" w:type="dxa"/>
            <w:gridSpan w:val="4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І кв.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23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5258" w:type="dxa"/>
            <w:gridSpan w:val="11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Будут изучены любительские направления в системе народной художественной культуры Приднестровья, выявлены отличия любительской деятельности от других видов народной художественной деятельности. Будут разработаны предложения для эффективного развития любительского творчества в учреждениях культуры.</w:t>
            </w:r>
          </w:p>
        </w:tc>
        <w:tc>
          <w:tcPr>
            <w:tcW w:w="3500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Научные статьи, доклад на конференции, курсовые проекты студентов направления подготовки «СКД», научное руководство работой студентов на НПК.</w:t>
            </w:r>
          </w:p>
        </w:tc>
      </w:tr>
      <w:tr w:rsidR="00970D13" w:rsidRPr="00970D13" w:rsidTr="00970D13">
        <w:trPr>
          <w:gridAfter w:val="3"/>
          <w:wAfter w:w="75" w:type="dxa"/>
          <w:trHeight w:val="1268"/>
        </w:trPr>
        <w:tc>
          <w:tcPr>
            <w:tcW w:w="3106" w:type="dxa"/>
            <w:gridSpan w:val="2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Этап 4: Региональные особенности продвижения рынка культурных услуг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4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доц.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Л.И. </w:t>
            </w:r>
            <w:proofErr w:type="spell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Саввина</w:t>
            </w:r>
            <w:proofErr w:type="spellEnd"/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4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І кв.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23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5258" w:type="dxa"/>
            <w:gridSpan w:val="11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Будут рассмотрены особенности регионального маркетинга рынка культурных услуг на </w:t>
            </w:r>
            <w:proofErr w:type="gram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примере  рекламной</w:t>
            </w:r>
            <w:proofErr w:type="gramEnd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в учреждениях и организациях сферы культуры, изучены возможности использования инновационных технологий рекламных методов воздействия на потребителя культурных услуг.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0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Научные статьи и публикации.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Подготовка лекционного материала/ презентаций  в проведении лекций и семинаров по дисциплинам « Маркетинг в социально-культурной сфере», «Реклама в социально-культурной сфере», «Теория и практика связей с общественностью».</w:t>
            </w:r>
          </w:p>
        </w:tc>
      </w:tr>
      <w:tr w:rsidR="00970D13" w:rsidRPr="00970D13" w:rsidTr="00970D13">
        <w:trPr>
          <w:gridAfter w:val="3"/>
          <w:wAfter w:w="75" w:type="dxa"/>
          <w:trHeight w:val="274"/>
        </w:trPr>
        <w:tc>
          <w:tcPr>
            <w:tcW w:w="3106" w:type="dxa"/>
            <w:gridSpan w:val="2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Этап 4: Этнокультурная среда города как составляющая его устойчивого развития</w:t>
            </w:r>
          </w:p>
        </w:tc>
        <w:tc>
          <w:tcPr>
            <w:tcW w:w="1944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ст. преп.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Т.И. Никитина</w:t>
            </w:r>
          </w:p>
        </w:tc>
        <w:tc>
          <w:tcPr>
            <w:tcW w:w="987" w:type="dxa"/>
            <w:gridSpan w:val="4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І кв.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23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5258" w:type="dxa"/>
            <w:gridSpan w:val="11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Будет исследовано влияние социокультурной составляющей города Рыбницы на возможности достижения его устойчивого развития, рассмотрена этнокультурная среда в качестве катализатора сбалансированности городского развития. Будут проанализированы соотношение этнического разнообразия населения и локализации социальных проблем. </w:t>
            </w:r>
          </w:p>
        </w:tc>
        <w:tc>
          <w:tcPr>
            <w:tcW w:w="3500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Научные статьи, доклад на конференции</w:t>
            </w:r>
          </w:p>
        </w:tc>
      </w:tr>
      <w:tr w:rsidR="00970D13" w:rsidRPr="00970D13" w:rsidTr="00970D13">
        <w:trPr>
          <w:gridAfter w:val="3"/>
          <w:wAfter w:w="75" w:type="dxa"/>
          <w:trHeight w:val="209"/>
        </w:trPr>
        <w:tc>
          <w:tcPr>
            <w:tcW w:w="16018" w:type="dxa"/>
            <w:gridSpan w:val="38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Направление «Развитие спорта и укрепление здоровья населения в регионе»</w:t>
            </w:r>
          </w:p>
        </w:tc>
      </w:tr>
      <w:tr w:rsidR="00970D13" w:rsidRPr="00970D13" w:rsidTr="00970D13">
        <w:trPr>
          <w:gridAfter w:val="3"/>
          <w:wAfter w:w="75" w:type="dxa"/>
          <w:trHeight w:val="2004"/>
        </w:trPr>
        <w:tc>
          <w:tcPr>
            <w:tcW w:w="3106" w:type="dxa"/>
            <w:gridSpan w:val="2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Этап 4:  Спортивно-оздоровительный  туризм и физическая рекреация</w:t>
            </w:r>
          </w:p>
        </w:tc>
        <w:tc>
          <w:tcPr>
            <w:tcW w:w="1944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ст. преп.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И.Ф. Шумилова </w:t>
            </w:r>
          </w:p>
        </w:tc>
        <w:tc>
          <w:tcPr>
            <w:tcW w:w="987" w:type="dxa"/>
            <w:gridSpan w:val="4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І кв.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23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5258" w:type="dxa"/>
            <w:gridSpan w:val="11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Будет изучено современное состояние, проблемы и перспективы спортивно-оздоровительного туризма в Приднестровье, составлена характеристика основных препятствий пеших походов. Изложены требования к участникам туристского похода в зависимости от его категории сложности, права и обязанности руководителя и участников спортивных походов и туров.</w:t>
            </w:r>
          </w:p>
        </w:tc>
        <w:tc>
          <w:tcPr>
            <w:tcW w:w="3500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Научная статья, доклад на конференции.</w:t>
            </w:r>
          </w:p>
        </w:tc>
      </w:tr>
      <w:tr w:rsidR="00970D13" w:rsidRPr="00970D13" w:rsidTr="00970D13">
        <w:trPr>
          <w:gridAfter w:val="3"/>
          <w:wAfter w:w="75" w:type="dxa"/>
          <w:trHeight w:val="918"/>
        </w:trPr>
        <w:tc>
          <w:tcPr>
            <w:tcW w:w="3106" w:type="dxa"/>
            <w:gridSpan w:val="2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Этап 4: Совершенствование тренировочного процесса в игровых видах спорта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4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 ст. преп.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В.Н. </w:t>
            </w:r>
            <w:proofErr w:type="spell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Борисюк</w:t>
            </w:r>
            <w:proofErr w:type="spellEnd"/>
          </w:p>
        </w:tc>
        <w:tc>
          <w:tcPr>
            <w:tcW w:w="987" w:type="dxa"/>
            <w:gridSpan w:val="4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І кв.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23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5258" w:type="dxa"/>
            <w:gridSpan w:val="11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Будет изучено многообразие различных видов спортивных </w:t>
            </w:r>
            <w:proofErr w:type="gram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игр,  которые</w:t>
            </w:r>
            <w:proofErr w:type="gramEnd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 пользуются особой популярностью среди студентов, игровой потенциал студентов младших курсов. Основное внимание в исследовании будет направлено на спортивную игру - волейбол.  Планируется разработать методические подходы, направленные на совершенствование двигательных действий в нападении и защите. </w:t>
            </w:r>
          </w:p>
        </w:tc>
        <w:tc>
          <w:tcPr>
            <w:tcW w:w="3500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Научная статья, доклад на конференции.</w:t>
            </w:r>
          </w:p>
        </w:tc>
      </w:tr>
      <w:tr w:rsidR="00970D13" w:rsidRPr="00970D13" w:rsidTr="00970D13">
        <w:trPr>
          <w:gridAfter w:val="3"/>
          <w:wAfter w:w="75" w:type="dxa"/>
          <w:trHeight w:val="275"/>
        </w:trPr>
        <w:tc>
          <w:tcPr>
            <w:tcW w:w="3106" w:type="dxa"/>
            <w:gridSpan w:val="2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Этап 4: Формирование здорового образа жизни и предупреждение асоциальных привычек в молодежной среде</w:t>
            </w:r>
          </w:p>
        </w:tc>
        <w:tc>
          <w:tcPr>
            <w:tcW w:w="1944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преп.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В.И. </w:t>
            </w:r>
            <w:proofErr w:type="spell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Мосежный</w:t>
            </w:r>
            <w:proofErr w:type="spellEnd"/>
          </w:p>
        </w:tc>
        <w:tc>
          <w:tcPr>
            <w:tcW w:w="987" w:type="dxa"/>
            <w:gridSpan w:val="4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І кв.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23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5258" w:type="dxa"/>
            <w:gridSpan w:val="11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Будут рассмотрены современные методы формирования здорового образа жизни и предупреждения асоциальных привычек в молодежной среде, изучены структура и психосоциальные факторы зависимого поведения студентов.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0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Научная статья, доклад на конференции.</w:t>
            </w:r>
          </w:p>
        </w:tc>
      </w:tr>
      <w:tr w:rsidR="00970D13" w:rsidRPr="00E4631A" w:rsidTr="00C04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3"/>
          <w:wAfter w:w="75" w:type="dxa"/>
          <w:trHeight w:val="274"/>
        </w:trPr>
        <w:tc>
          <w:tcPr>
            <w:tcW w:w="16018" w:type="dxa"/>
            <w:gridSpan w:val="38"/>
          </w:tcPr>
          <w:p w:rsidR="00970D13" w:rsidRPr="00970D13" w:rsidRDefault="00970D13" w:rsidP="009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Кафедра информатики и программной инженерии</w:t>
            </w:r>
          </w:p>
        </w:tc>
      </w:tr>
      <w:tr w:rsidR="00970D13" w:rsidRPr="00E4631A" w:rsidTr="009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3"/>
          <w:wAfter w:w="75" w:type="dxa"/>
          <w:trHeight w:val="420"/>
        </w:trPr>
        <w:tc>
          <w:tcPr>
            <w:tcW w:w="16018" w:type="dxa"/>
            <w:gridSpan w:val="38"/>
            <w:vAlign w:val="center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Тема: «Перспективные информационно-образовательные технологии» период исследования (2022 – 2025 гг.)</w:t>
            </w:r>
          </w:p>
        </w:tc>
      </w:tr>
      <w:tr w:rsidR="00970D13" w:rsidRPr="00E4631A" w:rsidTr="009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3"/>
          <w:wAfter w:w="75" w:type="dxa"/>
        </w:trPr>
        <w:tc>
          <w:tcPr>
            <w:tcW w:w="3970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: Мультимедийные интерактивные технологии в образовании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Этап 3: Апробация мультимедийных медиа- компонентов </w:t>
            </w:r>
          </w:p>
        </w:tc>
        <w:tc>
          <w:tcPr>
            <w:tcW w:w="2124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доц. 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proofErr w:type="gram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Тягульская</w:t>
            </w:r>
            <w:proofErr w:type="spellEnd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  ст.</w:t>
            </w:r>
            <w:proofErr w:type="gramEnd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 преп.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О.В. Сташкова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5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990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2025 г.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4957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рекомендации </w:t>
            </w:r>
            <w:proofErr w:type="gram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по  использованию</w:t>
            </w:r>
            <w:proofErr w:type="gramEnd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современных мультимедийных интерактивных технологий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результатов апробации  медиа-компонентов образовательных мультимедийных ресурсов </w:t>
            </w:r>
          </w:p>
        </w:tc>
        <w:tc>
          <w:tcPr>
            <w:tcW w:w="2839" w:type="dxa"/>
            <w:gridSpan w:val="5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Статья, доклад на конференции НПК, 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ВКР студентов 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0D13" w:rsidRPr="00E4631A" w:rsidTr="009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3"/>
          <w:wAfter w:w="75" w:type="dxa"/>
        </w:trPr>
        <w:tc>
          <w:tcPr>
            <w:tcW w:w="3970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: Развитие Soft Skills в профессиональной деятельности  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Этап 3: Апробация существующих методик по развитию  Soft Skills в профессиональной деятельности  </w:t>
            </w:r>
          </w:p>
        </w:tc>
        <w:tc>
          <w:tcPr>
            <w:tcW w:w="2124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доц.: 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Л.Я. Козак,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Шестопал</w:t>
            </w:r>
            <w:proofErr w:type="spellEnd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ст. преп.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С.И. </w:t>
            </w:r>
            <w:proofErr w:type="spell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Борсуковский</w:t>
            </w:r>
            <w:proofErr w:type="spellEnd"/>
          </w:p>
        </w:tc>
        <w:tc>
          <w:tcPr>
            <w:tcW w:w="1138" w:type="dxa"/>
            <w:gridSpan w:val="5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990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4957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Методические материалы по развитию Soft Skills в профессиональной деятельности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результатов апробации существующих методик по развитию  Soft Skills в профессиональной деятельности  </w:t>
            </w:r>
          </w:p>
        </w:tc>
        <w:tc>
          <w:tcPr>
            <w:tcW w:w="2839" w:type="dxa"/>
            <w:gridSpan w:val="5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Статья, доклад на конференции НПК, 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ВКР студентов 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0D13" w:rsidRPr="00E4631A" w:rsidTr="009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3"/>
          <w:wAfter w:w="75" w:type="dxa"/>
        </w:trPr>
        <w:tc>
          <w:tcPr>
            <w:tcW w:w="16018" w:type="dxa"/>
            <w:gridSpan w:val="38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b/>
                <w:lang w:eastAsia="ru-RU"/>
              </w:rPr>
              <w:t>Тема: «Информационная система кафедры» период исследования (2022 – 2024 гг.)</w:t>
            </w:r>
          </w:p>
        </w:tc>
      </w:tr>
      <w:tr w:rsidR="00970D13" w:rsidRPr="00E4631A" w:rsidTr="009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3"/>
          <w:wAfter w:w="75" w:type="dxa"/>
        </w:trPr>
        <w:tc>
          <w:tcPr>
            <w:tcW w:w="3970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: Информационная система кафедры 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Этап 3: Разработка портфолио студента</w:t>
            </w:r>
          </w:p>
        </w:tc>
        <w:tc>
          <w:tcPr>
            <w:tcW w:w="2124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доц. 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Тягульская</w:t>
            </w:r>
            <w:proofErr w:type="spellEnd"/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ст. преп.: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Е.С. </w:t>
            </w:r>
            <w:proofErr w:type="spell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Гарбузняк</w:t>
            </w:r>
            <w:proofErr w:type="spellEnd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70D13" w:rsidRPr="00970D13" w:rsidRDefault="00970D13" w:rsidP="00970D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А.Б. Глазов</w:t>
            </w:r>
          </w:p>
        </w:tc>
        <w:tc>
          <w:tcPr>
            <w:tcW w:w="1138" w:type="dxa"/>
            <w:gridSpan w:val="5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990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4957" w:type="dxa"/>
            <w:gridSpan w:val="7"/>
          </w:tcPr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система кафедры информатики и программной инженерии </w:t>
            </w:r>
            <w:proofErr w:type="spell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Рыбницкого</w:t>
            </w:r>
            <w:proofErr w:type="spellEnd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 филиала ПГУ им. Т.Г. Шевченко в виде веб-ресурса</w:t>
            </w:r>
          </w:p>
          <w:p w:rsidR="00970D13" w:rsidRPr="00970D13" w:rsidRDefault="00970D13" w:rsidP="0097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Модуль обработки данных портфолио студента </w:t>
            </w:r>
          </w:p>
        </w:tc>
        <w:tc>
          <w:tcPr>
            <w:tcW w:w="2839" w:type="dxa"/>
            <w:gridSpan w:val="5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Статьи, доклады на конференции НПК, командный проект в виде веб-ресурса кафедры</w:t>
            </w:r>
          </w:p>
        </w:tc>
      </w:tr>
      <w:tr w:rsidR="00970D13" w:rsidRPr="00E4631A" w:rsidTr="009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3"/>
          <w:wAfter w:w="75" w:type="dxa"/>
        </w:trPr>
        <w:tc>
          <w:tcPr>
            <w:tcW w:w="3970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: Применение Python </w:t>
            </w:r>
            <w:proofErr w:type="spell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фреймфорков</w:t>
            </w:r>
            <w:proofErr w:type="spellEnd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 в web’е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Этап 3: Поиск и выборки из NoSQL базы данных</w:t>
            </w:r>
          </w:p>
        </w:tc>
        <w:tc>
          <w:tcPr>
            <w:tcW w:w="2124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ст. преп.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А.Б. Глазов</w:t>
            </w:r>
          </w:p>
        </w:tc>
        <w:tc>
          <w:tcPr>
            <w:tcW w:w="1138" w:type="dxa"/>
            <w:gridSpan w:val="5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990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4957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Подключение к сайту NoSQL базы данных на языке </w:t>
            </w:r>
            <w:proofErr w:type="gram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программирования  Python</w:t>
            </w:r>
            <w:proofErr w:type="gramEnd"/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страницы поиска по сайту </w:t>
            </w:r>
          </w:p>
        </w:tc>
        <w:tc>
          <w:tcPr>
            <w:tcW w:w="2839" w:type="dxa"/>
            <w:gridSpan w:val="5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Статья, доклад на конференции НПК, сопроводительная документация по навигации сайта </w:t>
            </w:r>
          </w:p>
        </w:tc>
      </w:tr>
      <w:tr w:rsidR="00970D13" w:rsidRPr="00E4631A" w:rsidTr="009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3"/>
          <w:wAfter w:w="75" w:type="dxa"/>
        </w:trPr>
        <w:tc>
          <w:tcPr>
            <w:tcW w:w="3970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: Применение аппаратно-программных средств Arduino в автоматизации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Этап 3: Разработка  программной части комплекса на основе Arduino</w:t>
            </w:r>
          </w:p>
        </w:tc>
        <w:tc>
          <w:tcPr>
            <w:tcW w:w="2124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преп.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О.М. </w:t>
            </w:r>
            <w:proofErr w:type="spell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Нагаевский</w:t>
            </w:r>
            <w:proofErr w:type="spellEnd"/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5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990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4957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программной </w:t>
            </w:r>
            <w:proofErr w:type="gram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части  комплекса</w:t>
            </w:r>
            <w:proofErr w:type="gramEnd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Arduino 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Тестирование программной части  комплекса на основе Arduino</w:t>
            </w:r>
          </w:p>
        </w:tc>
        <w:tc>
          <w:tcPr>
            <w:tcW w:w="2839" w:type="dxa"/>
            <w:gridSpan w:val="5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Статья, доклад на конференции НПК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0D13" w:rsidRPr="00E4631A" w:rsidTr="009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3"/>
          <w:wAfter w:w="75" w:type="dxa"/>
        </w:trPr>
        <w:tc>
          <w:tcPr>
            <w:tcW w:w="3970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: Разработка системы для формирования политики безопасности информационной системы.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Этап 3: Тестирование сервиса для построения  модели политики  безопасности </w:t>
            </w:r>
          </w:p>
        </w:tc>
        <w:tc>
          <w:tcPr>
            <w:tcW w:w="2124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преп.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И.В. Луценко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5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970D13" w:rsidRPr="00970D13" w:rsidRDefault="00970D13" w:rsidP="009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990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4957" w:type="dxa"/>
            <w:gridSpan w:val="7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eading=h.gjdgxs" w:colFirst="0" w:colLast="0"/>
            <w:bookmarkEnd w:id="2"/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Web-сервис формирования политики безопасности на основе критериев для предприятия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и анализ выходных данных на основании построенной модели  </w:t>
            </w:r>
          </w:p>
        </w:tc>
        <w:tc>
          <w:tcPr>
            <w:tcW w:w="2839" w:type="dxa"/>
            <w:gridSpan w:val="5"/>
          </w:tcPr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Статья, доклад на конференции НПК,</w:t>
            </w:r>
          </w:p>
          <w:p w:rsidR="00970D13" w:rsidRPr="00970D13" w:rsidRDefault="00970D13" w:rsidP="0097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D13">
              <w:rPr>
                <w:rFonts w:ascii="Times New Roman" w:eastAsia="Times New Roman" w:hAnsi="Times New Roman" w:cs="Times New Roman"/>
                <w:lang w:eastAsia="ru-RU"/>
              </w:rPr>
              <w:t>материалы диссертационного исследования</w:t>
            </w:r>
          </w:p>
        </w:tc>
      </w:tr>
    </w:tbl>
    <w:p w:rsidR="00191300" w:rsidRPr="00172105" w:rsidRDefault="00C2681D" w:rsidP="00172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191300" w:rsidRPr="00172105" w:rsidSect="00ED5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4F"/>
    <w:rsid w:val="00120EFE"/>
    <w:rsid w:val="00172105"/>
    <w:rsid w:val="006C75CA"/>
    <w:rsid w:val="0070481F"/>
    <w:rsid w:val="00804F2B"/>
    <w:rsid w:val="008E3F51"/>
    <w:rsid w:val="00970D13"/>
    <w:rsid w:val="00C2681D"/>
    <w:rsid w:val="00C82BF1"/>
    <w:rsid w:val="00CE37C8"/>
    <w:rsid w:val="00E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32CC"/>
  <w15:chartTrackingRefBased/>
  <w15:docId w15:val="{4E66E222-8A32-4C34-8A22-FB545F7D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7</cp:revision>
  <dcterms:created xsi:type="dcterms:W3CDTF">2024-01-16T08:46:00Z</dcterms:created>
  <dcterms:modified xsi:type="dcterms:W3CDTF">2024-01-23T14:00:00Z</dcterms:modified>
</cp:coreProperties>
</file>