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2" w:rsidRDefault="00FE0902">
      <w:pPr>
        <w:rPr>
          <w:rFonts w:ascii="Times New Roman" w:hAnsi="Times New Roman" w:cs="Times New Roman"/>
          <w:sz w:val="28"/>
          <w:szCs w:val="28"/>
        </w:rPr>
      </w:pPr>
    </w:p>
    <w:p w:rsidR="00AF49F7" w:rsidRDefault="00AF49F7" w:rsidP="00AF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C2">
        <w:rPr>
          <w:rFonts w:ascii="Times New Roman" w:hAnsi="Times New Roman" w:cs="Times New Roman"/>
          <w:b/>
          <w:sz w:val="24"/>
          <w:szCs w:val="24"/>
        </w:rPr>
        <w:t>ПЛАН НАУЧНО-ИССЛЕДОВАТЕЛЬСКИХ РАБОТ КАФЕДР РЫБНИЦКОГО ФИЛИАЛА ПГУ</w:t>
      </w:r>
      <w:r w:rsidRPr="001039C2">
        <w:rPr>
          <w:rFonts w:ascii="Times New Roman" w:hAnsi="Times New Roman" w:cs="Times New Roman"/>
          <w:b/>
          <w:sz w:val="24"/>
          <w:szCs w:val="24"/>
        </w:rPr>
        <w:br/>
        <w:t xml:space="preserve"> им. Т.Г. ШЕВЧЕНКО на 2020 год</w:t>
      </w:r>
    </w:p>
    <w:p w:rsidR="001039C2" w:rsidRPr="001039C2" w:rsidRDefault="001039C2" w:rsidP="00AF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1426"/>
        <w:gridCol w:w="1423"/>
        <w:gridCol w:w="3061"/>
        <w:gridCol w:w="2620"/>
      </w:tblGrid>
      <w:tr w:rsidR="00AF49F7" w:rsidRPr="001039C2" w:rsidTr="00EC2E96">
        <w:trPr>
          <w:trHeight w:val="116"/>
        </w:trPr>
        <w:tc>
          <w:tcPr>
            <w:tcW w:w="2840" w:type="dxa"/>
            <w:vMerge w:val="restart"/>
            <w:vAlign w:val="center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темы, этапа</w:t>
            </w:r>
          </w:p>
        </w:tc>
        <w:tc>
          <w:tcPr>
            <w:tcW w:w="2840" w:type="dxa"/>
            <w:vMerge w:val="restart"/>
            <w:vAlign w:val="center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Ф.И.О. научных руководителей, исполнителей</w:t>
            </w:r>
          </w:p>
        </w:tc>
        <w:tc>
          <w:tcPr>
            <w:tcW w:w="2849" w:type="dxa"/>
            <w:gridSpan w:val="2"/>
            <w:vAlign w:val="center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61" w:type="dxa"/>
            <w:vMerge w:val="restart"/>
            <w:vAlign w:val="center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620" w:type="dxa"/>
            <w:vMerge w:val="restart"/>
            <w:vAlign w:val="center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AF49F7" w:rsidRPr="001039C2" w:rsidTr="00EC2E96">
        <w:trPr>
          <w:trHeight w:val="115"/>
        </w:trPr>
        <w:tc>
          <w:tcPr>
            <w:tcW w:w="2840" w:type="dxa"/>
            <w:vMerge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3061" w:type="dxa"/>
            <w:vMerge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1039C2" w:rsidTr="001039C2">
        <w:trPr>
          <w:trHeight w:val="420"/>
        </w:trPr>
        <w:tc>
          <w:tcPr>
            <w:tcW w:w="14210" w:type="dxa"/>
            <w:gridSpan w:val="6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прикладной информатики в экономике</w:t>
            </w:r>
          </w:p>
        </w:tc>
      </w:tr>
      <w:tr w:rsidR="00AF49F7" w:rsidRPr="001039C2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Цифровое общество: цифровая культура, поиск и определение ложных данных для сети виртуальной реальности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Павлинов И.А., 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Ляху А.А.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Будут определены: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процессы эволюции цифровой культуры;</w:t>
            </w:r>
          </w:p>
          <w:p w:rsidR="00AF49F7" w:rsidRPr="001039C2" w:rsidRDefault="00AF49F7" w:rsidP="00EC2E96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– влияние нововведений на поиск и определение ложны данных для сети виртуальной реальности.</w:t>
            </w:r>
          </w:p>
        </w:tc>
        <w:tc>
          <w:tcPr>
            <w:tcW w:w="262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Монография, статьи, выступление с докладом.</w:t>
            </w:r>
          </w:p>
        </w:tc>
      </w:tr>
      <w:tr w:rsidR="00AF49F7" w:rsidRPr="001039C2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цифровой экономики и подготовка кадров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Попик И.И.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основные принципы цифровых трансформаций в области подготовки кадров;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развития подготовки кадров для цифровой экономики для ПМР.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Будут рассмотрены: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подготовки кадров для эффективного функционирования цифровой экономики.</w:t>
            </w:r>
          </w:p>
        </w:tc>
        <w:tc>
          <w:tcPr>
            <w:tcW w:w="262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доклады на конференциях, материалы для монографии, совершенствование виртуального информационно-технологического парка</w:t>
            </w:r>
          </w:p>
        </w:tc>
      </w:tr>
      <w:tr w:rsidR="00AF49F7" w:rsidRPr="001039C2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искусственного интеллекта в цифровой экономике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ind w:left="-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Скалецкий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AF49F7" w:rsidRPr="001039C2" w:rsidRDefault="00AF49F7" w:rsidP="00EC2E96">
            <w:pPr>
              <w:ind w:left="-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Будут проанализированы: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  <w:tab w:val="left" w:pos="48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области когнитивного искусственного интеллекта; 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  <w:tab w:val="left" w:pos="48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стратегии развития  искусственного интеллекта в КНР и РФ.</w:t>
            </w:r>
          </w:p>
          <w:p w:rsidR="00AF49F7" w:rsidRPr="001039C2" w:rsidRDefault="00AF49F7" w:rsidP="00EC2E96">
            <w:pPr>
              <w:tabs>
                <w:tab w:val="left" w:pos="260"/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Будут рассмотрены: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  <w:tab w:val="left" w:pos="48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набор технологий искусственного интеллекта, используемых для эффективного функционирования цифровой экономики</w:t>
            </w:r>
          </w:p>
        </w:tc>
        <w:tc>
          <w:tcPr>
            <w:tcW w:w="262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Статьи, доклады на конференциях, материалы для монографии.</w:t>
            </w:r>
          </w:p>
        </w:tc>
      </w:tr>
      <w:tr w:rsidR="00AF49F7" w:rsidRPr="00F672E0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исследования цифровой культуры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Скодорова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Л.К.,</w:t>
            </w:r>
          </w:p>
          <w:p w:rsidR="00AF49F7" w:rsidRPr="001039C2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Е.В. 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proofErr w:type="gram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, выделены и исследованы: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  <w:tab w:val="left" w:pos="4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определения цифровой культуры;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  <w:tab w:val="left" w:pos="4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точки соприкосновения цифровой культуры и информационных технологий;</w:t>
            </w:r>
          </w:p>
          <w:p w:rsidR="00AF49F7" w:rsidRPr="001039C2" w:rsidRDefault="00AF49F7" w:rsidP="00AF49F7">
            <w:pPr>
              <w:numPr>
                <w:ilvl w:val="0"/>
                <w:numId w:val="3"/>
              </w:numPr>
              <w:tabs>
                <w:tab w:val="left" w:pos="260"/>
                <w:tab w:val="left" w:pos="48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стержневая проблема становления цифровой культуры.</w:t>
            </w:r>
          </w:p>
        </w:tc>
        <w:tc>
          <w:tcPr>
            <w:tcW w:w="2620" w:type="dxa"/>
          </w:tcPr>
          <w:p w:rsidR="00AF49F7" w:rsidRPr="00F672E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Статьи, доклады на конференциях, материалы для монографии.</w:t>
            </w:r>
          </w:p>
        </w:tc>
      </w:tr>
      <w:tr w:rsidR="00AF49F7" w:rsidRPr="00F672E0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F672E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E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F672E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в </w:t>
            </w: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неопределенности </w:t>
            </w:r>
          </w:p>
        </w:tc>
        <w:tc>
          <w:tcPr>
            <w:tcW w:w="2840" w:type="dxa"/>
          </w:tcPr>
          <w:p w:rsidR="00AF49F7" w:rsidRPr="00F672E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Терлюга</w:t>
            </w:r>
            <w:proofErr w:type="spellEnd"/>
            <w:r w:rsidRPr="00F672E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AF49F7" w:rsidRPr="00F672E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И.И.</w:t>
            </w:r>
          </w:p>
          <w:p w:rsidR="00AF49F7" w:rsidRPr="00F672E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Pr="00F672E0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F672E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F672E0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423" w:type="dxa"/>
          </w:tcPr>
          <w:p w:rsidR="00AF49F7" w:rsidRPr="00F672E0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672E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F672E0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3061" w:type="dxa"/>
          </w:tcPr>
          <w:p w:rsidR="00AF49F7" w:rsidRPr="00F672E0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рассмотрены: </w:t>
            </w:r>
          </w:p>
          <w:p w:rsidR="00AF49F7" w:rsidRPr="00F672E0" w:rsidRDefault="00AF49F7" w:rsidP="00AF49F7">
            <w:pPr>
              <w:numPr>
                <w:ilvl w:val="0"/>
                <w:numId w:val="3"/>
              </w:numPr>
              <w:tabs>
                <w:tab w:val="left" w:pos="261"/>
                <w:tab w:val="left" w:pos="48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влияния условий неопределённости </w:t>
            </w: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принятие решений; </w:t>
            </w:r>
          </w:p>
          <w:p w:rsidR="00AF49F7" w:rsidRPr="00F672E0" w:rsidRDefault="00AF49F7" w:rsidP="00AF49F7">
            <w:pPr>
              <w:numPr>
                <w:ilvl w:val="0"/>
                <w:numId w:val="2"/>
              </w:numPr>
              <w:tabs>
                <w:tab w:val="left" w:pos="255"/>
                <w:tab w:val="left" w:pos="48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на правдивость и лживость; </w:t>
            </w:r>
          </w:p>
          <w:p w:rsidR="00AF49F7" w:rsidRPr="00F672E0" w:rsidRDefault="00AF49F7" w:rsidP="00AF49F7">
            <w:pPr>
              <w:numPr>
                <w:ilvl w:val="0"/>
                <w:numId w:val="2"/>
              </w:numPr>
              <w:tabs>
                <w:tab w:val="left" w:pos="255"/>
                <w:tab w:val="left" w:pos="48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t>определить наиболее значимые условия неопределенности в структуре принятия управленческих решений и степень их влияния на процесс принятия решений;</w:t>
            </w:r>
          </w:p>
          <w:p w:rsidR="00AF49F7" w:rsidRPr="00F672E0" w:rsidRDefault="00AF49F7" w:rsidP="00AF49F7">
            <w:pPr>
              <w:numPr>
                <w:ilvl w:val="0"/>
                <w:numId w:val="2"/>
              </w:numPr>
              <w:tabs>
                <w:tab w:val="left" w:pos="255"/>
                <w:tab w:val="left" w:pos="48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влияние методов и технологий на процесс принятия своевременных эффективных решений.</w:t>
            </w:r>
          </w:p>
        </w:tc>
        <w:tc>
          <w:tcPr>
            <w:tcW w:w="2620" w:type="dxa"/>
          </w:tcPr>
          <w:p w:rsidR="00AF49F7" w:rsidRPr="00F672E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Статьи, доклады на конференциях, материалы для </w:t>
            </w:r>
            <w:r w:rsidRPr="00F6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монографии.</w:t>
            </w:r>
          </w:p>
        </w:tc>
      </w:tr>
      <w:tr w:rsidR="00AF49F7" w:rsidRPr="00F672E0" w:rsidTr="00EC2E96">
        <w:trPr>
          <w:trHeight w:val="283"/>
        </w:trPr>
        <w:tc>
          <w:tcPr>
            <w:tcW w:w="14210" w:type="dxa"/>
            <w:gridSpan w:val="6"/>
            <w:vAlign w:val="center"/>
          </w:tcPr>
          <w:p w:rsidR="00AF49F7" w:rsidRPr="000960CC" w:rsidRDefault="00AF49F7" w:rsidP="00EC2E9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Кафедра автоматизации технологических процессов и производств</w:t>
            </w:r>
          </w:p>
        </w:tc>
      </w:tr>
      <w:tr w:rsidR="00AF49F7" w:rsidRPr="00F672E0" w:rsidTr="00EC2E96">
        <w:trPr>
          <w:trHeight w:val="283"/>
        </w:trPr>
        <w:tc>
          <w:tcPr>
            <w:tcW w:w="2840" w:type="dxa"/>
            <w:vAlign w:val="center"/>
          </w:tcPr>
          <w:p w:rsidR="00AF49F7" w:rsidRPr="00F672E0" w:rsidRDefault="00AF49F7" w:rsidP="00EC2E96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0">
              <w:rPr>
                <w:rFonts w:ascii="Times New Roman" w:hAnsi="Times New Roman" w:cs="Times New Roman"/>
                <w:sz w:val="24"/>
                <w:szCs w:val="24"/>
              </w:rPr>
              <w:t>Тема: «Инновации в промышленности, управлении и образовании» период исследования (2017 -2020 гг.)</w:t>
            </w:r>
          </w:p>
        </w:tc>
        <w:tc>
          <w:tcPr>
            <w:tcW w:w="2840" w:type="dxa"/>
            <w:vAlign w:val="center"/>
          </w:tcPr>
          <w:p w:rsidR="00AF49F7" w:rsidRPr="000960CC" w:rsidRDefault="00AF49F7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доц. Федоров В.Е., ст. преп. Глушков Г.Е., преп. В.В. Заболотная</w:t>
            </w:r>
          </w:p>
        </w:tc>
        <w:tc>
          <w:tcPr>
            <w:tcW w:w="1426" w:type="dxa"/>
            <w:vAlign w:val="center"/>
          </w:tcPr>
          <w:p w:rsidR="00AF49F7" w:rsidRPr="000960CC" w:rsidRDefault="00AF49F7" w:rsidP="00EC2E96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кв. 2020 г</w:t>
            </w:r>
          </w:p>
        </w:tc>
        <w:tc>
          <w:tcPr>
            <w:tcW w:w="1423" w:type="dxa"/>
            <w:vAlign w:val="center"/>
          </w:tcPr>
          <w:p w:rsidR="00AF49F7" w:rsidRPr="000960CC" w:rsidRDefault="00AF49F7" w:rsidP="00EC2E96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кв. 2020 г.</w:t>
            </w:r>
          </w:p>
        </w:tc>
        <w:tc>
          <w:tcPr>
            <w:tcW w:w="3061" w:type="dxa"/>
            <w:vAlign w:val="center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Планируется исследовать  возможность применения инновационных предложений на основе информационно-коммуникационных технологий на пре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  <w:proofErr w:type="gram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. Рыбница и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vAlign w:val="center"/>
          </w:tcPr>
          <w:p w:rsidR="00AF49F7" w:rsidRPr="000960CC" w:rsidRDefault="00AF49F7" w:rsidP="00EC2E96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Статьи, доклады на ко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ференциях, публикации.</w:t>
            </w: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  <w:vAlign w:val="center"/>
          </w:tcPr>
          <w:p w:rsidR="00AF49F7" w:rsidRPr="00F80445" w:rsidRDefault="00AF49F7" w:rsidP="00EC2E96">
            <w:pPr>
              <w:tabs>
                <w:tab w:val="left" w:pos="4830"/>
              </w:tabs>
              <w:rPr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80445">
              <w:rPr>
                <w:i/>
                <w:sz w:val="24"/>
                <w:szCs w:val="24"/>
              </w:rPr>
              <w:t xml:space="preserve"> </w:t>
            </w:r>
          </w:p>
          <w:p w:rsidR="00AF49F7" w:rsidRPr="000960CC" w:rsidRDefault="00AF49F7" w:rsidP="00EC2E96">
            <w:pPr>
              <w:tabs>
                <w:tab w:val="left" w:pos="48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Инновации на основе информац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технологий.</w:t>
            </w:r>
            <w:r w:rsidRPr="00096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Инновации на основе информационно-коммуникационные </w:t>
            </w:r>
            <w:proofErr w:type="spellStart"/>
            <w:proofErr w:type="gramStart"/>
            <w:r w:rsidRPr="00096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техноло-гий</w:t>
            </w:r>
            <w:proofErr w:type="spellEnd"/>
            <w:proofErr w:type="gramEnd"/>
          </w:p>
        </w:tc>
        <w:tc>
          <w:tcPr>
            <w:tcW w:w="2840" w:type="dxa"/>
            <w:vAlign w:val="center"/>
          </w:tcPr>
          <w:p w:rsidR="00AF49F7" w:rsidRPr="000960CC" w:rsidRDefault="00AF49F7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доц. Федоров В.Е., ст. преп. Глушков Г.Е., преп. В.В. Заболотная</w:t>
            </w:r>
          </w:p>
        </w:tc>
        <w:tc>
          <w:tcPr>
            <w:tcW w:w="1426" w:type="dxa"/>
            <w:vAlign w:val="center"/>
          </w:tcPr>
          <w:p w:rsidR="00AF49F7" w:rsidRPr="000960CC" w:rsidRDefault="00AF49F7" w:rsidP="00EC2E96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кв. 2020 г</w:t>
            </w:r>
          </w:p>
        </w:tc>
        <w:tc>
          <w:tcPr>
            <w:tcW w:w="1423" w:type="dxa"/>
            <w:vAlign w:val="center"/>
          </w:tcPr>
          <w:p w:rsidR="00AF49F7" w:rsidRPr="000960CC" w:rsidRDefault="00AF49F7" w:rsidP="00EC2E96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кв. 2020 г.</w:t>
            </w:r>
          </w:p>
        </w:tc>
        <w:tc>
          <w:tcPr>
            <w:tcW w:w="3061" w:type="dxa"/>
            <w:vAlign w:val="center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исследовать  возможность применения инновационных предложений на основе информационно-коммуникационных 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на пре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  <w:proofErr w:type="gram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. Рыбница и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0" w:type="dxa"/>
            <w:vAlign w:val="center"/>
          </w:tcPr>
          <w:p w:rsidR="00AF49F7" w:rsidRPr="000960CC" w:rsidRDefault="00AF49F7" w:rsidP="00EC2E96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доклады на ко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ференциях, публикации.</w:t>
            </w: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  <w:vAlign w:val="center"/>
          </w:tcPr>
          <w:p w:rsidR="00AF49F7" w:rsidRPr="001039C2" w:rsidRDefault="00AF49F7" w:rsidP="00EC2E96">
            <w:pPr>
              <w:tabs>
                <w:tab w:val="left" w:pos="48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tabs>
                <w:tab w:val="left" w:pos="48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инновационных компетенций выпускников филиала ПГУ им. Т.Г. Шевченко в г.  Рыбница  с целью адаптации в информационно-социальной среде</w:t>
            </w:r>
          </w:p>
        </w:tc>
        <w:tc>
          <w:tcPr>
            <w:tcW w:w="2840" w:type="dxa"/>
            <w:vAlign w:val="center"/>
          </w:tcPr>
          <w:p w:rsidR="00AF49F7" w:rsidRPr="001039C2" w:rsidRDefault="00AF49F7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Цвинкайло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П.С, ст. преподаватель Заболотная В.В., ст. преп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даватель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Вычужин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26" w:type="dxa"/>
            <w:vAlign w:val="center"/>
          </w:tcPr>
          <w:p w:rsidR="00AF49F7" w:rsidRPr="001039C2" w:rsidRDefault="00AF49F7" w:rsidP="00EC2E96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 2020 г</w:t>
            </w:r>
          </w:p>
        </w:tc>
        <w:tc>
          <w:tcPr>
            <w:tcW w:w="1423" w:type="dxa"/>
            <w:vAlign w:val="center"/>
          </w:tcPr>
          <w:p w:rsidR="00AF49F7" w:rsidRPr="001039C2" w:rsidRDefault="00AF49F7" w:rsidP="00EC2E96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 2020 г.</w:t>
            </w:r>
          </w:p>
        </w:tc>
        <w:tc>
          <w:tcPr>
            <w:tcW w:w="3061" w:type="dxa"/>
            <w:vAlign w:val="center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 исследовать  компетенции выпускников направления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АТПиП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адаптации в социальной среде.</w:t>
            </w:r>
          </w:p>
        </w:tc>
        <w:tc>
          <w:tcPr>
            <w:tcW w:w="2620" w:type="dxa"/>
            <w:vAlign w:val="center"/>
          </w:tcPr>
          <w:p w:rsidR="00AF49F7" w:rsidRPr="000960CC" w:rsidRDefault="00AF49F7" w:rsidP="00EC2E96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Статьи, доклады на ко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ференциях, публикации.</w:t>
            </w:r>
          </w:p>
        </w:tc>
      </w:tr>
      <w:tr w:rsidR="00AF49F7" w:rsidRPr="000960CC" w:rsidTr="00EC2E96">
        <w:trPr>
          <w:trHeight w:val="283"/>
        </w:trPr>
        <w:tc>
          <w:tcPr>
            <w:tcW w:w="14210" w:type="dxa"/>
            <w:gridSpan w:val="6"/>
            <w:vAlign w:val="center"/>
          </w:tcPr>
          <w:p w:rsidR="00AF49F7" w:rsidRPr="001039C2" w:rsidRDefault="00AF49F7" w:rsidP="00EC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информатики и программной инженерии</w:t>
            </w: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Перспективные информационно-образовательные технологии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Этап 3. Развёртывание экспериментального обучения с целью подготовки работников сферы образования ПМР </w:t>
            </w:r>
            <w:r w:rsidRPr="001039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 использованию информационно-образовательных технологий в учебном процессе в рамках </w:t>
            </w:r>
            <w:proofErr w:type="spellStart"/>
            <w:r w:rsidRPr="001039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компетентностной</w:t>
            </w:r>
            <w:proofErr w:type="spellEnd"/>
            <w:r w:rsidRPr="001039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модели образования.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End"/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 Балан,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Тягульская</w:t>
            </w:r>
            <w:proofErr w:type="spellEnd"/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Ляху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I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Развертывание экспериментального обучения с целью подготовки работников сферы образования ПМР к использованию перспективных ДОТ в учебном процессе в рамках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учебного характера по подготовке работников сферы образования ПМР к использованию информационно-образовательных 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учебном процессе; подготовлен итоговый комплект методических разработок в соответствии с моделью подготовки работников сферы образования ПМР к использованию информационно-образовательных технологий в учебном процессе.</w:t>
            </w:r>
          </w:p>
        </w:tc>
        <w:tc>
          <w:tcPr>
            <w:tcW w:w="2620" w:type="dxa"/>
            <w:vAlign w:val="center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магистрантов</w:t>
            </w:r>
          </w:p>
          <w:p w:rsidR="00AF49F7" w:rsidRPr="000960CC" w:rsidRDefault="00AF49F7" w:rsidP="00EC2E96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Предметно-ориентированное программирование и конфигурирование в сложных информационных системах на примере технологической платформы «1С: Предприятие 8.3»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2: Проектирование конфигураций в  системе «1С</w:t>
            </w:r>
            <w:proofErr w:type="gramStart"/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редприятие» для адаптации типовых программных решений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Л.Я. </w:t>
            </w:r>
            <w:proofErr w:type="spellStart"/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</w:t>
            </w:r>
            <w:proofErr w:type="spellEnd"/>
          </w:p>
        </w:tc>
        <w:tc>
          <w:tcPr>
            <w:tcW w:w="1426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эффективному использованию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ИТ-решений</w:t>
            </w:r>
            <w:proofErr w:type="spellEnd"/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Работа с конфигурацией. Работа с метаданными в Конструкторе. Шаблоны документов.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Статья, доклад на конференции ППС, внедрение разработанного программного приложения 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Автоматизированные системы мониторинга и оценки учебной </w:t>
            </w: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студента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2: Разработка системы мониторинга и оценки учебной деятельности студента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доц. 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Тягульская</w:t>
            </w:r>
            <w:proofErr w:type="spellEnd"/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преподаватель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Е.С. </w:t>
            </w:r>
            <w:proofErr w:type="spellStart"/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Гарбузняк</w:t>
            </w:r>
            <w:proofErr w:type="spellEnd"/>
          </w:p>
        </w:tc>
        <w:tc>
          <w:tcPr>
            <w:tcW w:w="1426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IV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Pr="001039C2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Автоматизированная система мониторинга и оценки учебной деятельности студента в 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блока математических дисциплин</w:t>
            </w:r>
          </w:p>
          <w:p w:rsidR="00AF49F7" w:rsidRPr="001039C2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Внедрение системы автоматизированного контроля в учебный процесс в рамках блока математических дисциплин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Статья, доклад на конференции ППС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0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Подтема</w:t>
            </w:r>
            <w:proofErr w:type="spellEnd"/>
            <w:r w:rsidRPr="000960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обработки больших данных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3: Применение NoSQL-таблиц для создания сайтов</w:t>
            </w:r>
          </w:p>
        </w:tc>
        <w:tc>
          <w:tcPr>
            <w:tcW w:w="284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А.Б. Глазов</w:t>
            </w:r>
          </w:p>
        </w:tc>
        <w:tc>
          <w:tcPr>
            <w:tcW w:w="1426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анализ больших данных в области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ИТ-технологий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Модуль СУБД DBSN на РНР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Статья, доклад на конференции ППС, Размещение модуля на сайте</w:t>
            </w: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096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подходов усовершенствования математических моделей.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2: Модификация робастных методов для случая нелинейной регрессии</w:t>
            </w:r>
          </w:p>
        </w:tc>
        <w:tc>
          <w:tcPr>
            <w:tcW w:w="284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Борсуковский</w:t>
            </w:r>
            <w:proofErr w:type="spellEnd"/>
          </w:p>
        </w:tc>
        <w:tc>
          <w:tcPr>
            <w:tcW w:w="1426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программных </w:t>
            </w:r>
            <w:proofErr w:type="gram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модулей реализации некоторых методов усовершенствования математических моделей</w:t>
            </w:r>
            <w:proofErr w:type="gramEnd"/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Формализация алгоритмов модифицированных робастных методов для случая нелинейной регрессии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Статья, доклад на конференции ППС </w:t>
            </w: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0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 w:rsidRPr="000960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Информационно-советующие системы как средство формирования рекомендаций по совершенствованию показателей эффективности социально-</w:t>
            </w: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экономических процессов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2: Разработка программного комплекса для построения математических моделей исследуемых объектов</w:t>
            </w:r>
          </w:p>
        </w:tc>
        <w:tc>
          <w:tcPr>
            <w:tcW w:w="284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ст. преподаватель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Сташкова 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IV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ИСС мониторинга возделывания агрокультуры </w:t>
            </w: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Программный комплекс построения математических моделей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Статья, доклад на конференции ППС, свидетельство о регистрации авторского права на разработанную структуру ИСС,</w:t>
            </w:r>
          </w:p>
          <w:p w:rsidR="00AF49F7" w:rsidRPr="000960CC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диссертационного </w:t>
            </w:r>
            <w:r w:rsidRPr="0009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</w:t>
            </w: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Исследованные уязвимостей и способов защиты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десктопных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приложений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способов анализа исполняемых файлов</w:t>
            </w:r>
          </w:p>
        </w:tc>
        <w:tc>
          <w:tcPr>
            <w:tcW w:w="2840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Нагаевская</w:t>
            </w:r>
            <w:proofErr w:type="spellEnd"/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способов защиты приложений.</w:t>
            </w: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исполняемых файлов</w:t>
            </w:r>
          </w:p>
        </w:tc>
        <w:tc>
          <w:tcPr>
            <w:tcW w:w="2620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Статья, доклад на конференции ППС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 выбора состава технических средств системы защиты информации информационной системы малого 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2: </w:t>
            </w:r>
            <w:r w:rsidRPr="00CE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и апробация автоматизированной системы по оценки технической защиты информации на предприятии</w:t>
            </w:r>
          </w:p>
        </w:tc>
        <w:tc>
          <w:tcPr>
            <w:tcW w:w="2840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Луценко</w:t>
            </w:r>
            <w:proofErr w:type="spellEnd"/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сетевой защиты информации</w:t>
            </w: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Оценки критерий оценки технической защиты информации</w:t>
            </w:r>
          </w:p>
          <w:p w:rsidR="00AF49F7" w:rsidRPr="00714141" w:rsidRDefault="00AF49F7" w:rsidP="00EC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Статья, доклад на конференции ППС,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диссертационного исследования</w:t>
            </w: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49F7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14210" w:type="dxa"/>
            <w:gridSpan w:val="6"/>
          </w:tcPr>
          <w:p w:rsidR="00AF49F7" w:rsidRPr="00D2142E" w:rsidRDefault="00AF49F7" w:rsidP="00EC2E9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Кафедра общенаучных дисциплин</w:t>
            </w: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сохранения и развития  национальной идентичности  в поликультурном пространстве Приднестровья.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проанализирован кризис индивидуальных и коллективных идентичностей в современном государстве с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поликультурностью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и многонациональным составом.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Будет исследована идентичность малых групп, этнических, культурных меньшинств в поликультурном пространстве России и Приднестровья,  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проблемы преемственности в формирования национальной и культурной идентичности в условиях глобализации.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украинской речи русскоязычных первокурсников в условиях Приднестровья.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Этап 4.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Создание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лингводидактической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украинскому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языку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второму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высшей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Лозан</w:t>
            </w:r>
            <w:proofErr w:type="spellEnd"/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I кв.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кв.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методики формирования устной украинской русскоязычных первокурсников в условиях Приднестровья.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исследованы психологические, психолингвистические, лингводидактические особенности и 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аспекты формирования диалогической и монологической речи русскоязычных студентов. Будет теоретически обоснована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неоходимость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лингводидактической системы обучения украинскому языку как второму в высшей школе.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Мультикультурализм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национальная идентичность в процессе глобализации.</w:t>
            </w: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т. преп.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Т.И. Никитина</w:t>
            </w:r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I кв.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исследованы основные факторы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мультикультурализма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национальной идентичности в период глобализации.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Судьба локальных и этнических культур в эпоху глобализации. «Реактивное сопротивление»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глобалилизационным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процессам.</w:t>
            </w: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т. преп.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Будут исследованы социально-психологические факторы, приведшие к активизации этнического самосознания.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Воспроизводство и современная семья: проблемы и 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Г.П. Булаева</w:t>
            </w:r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Будет исследована и произведена оценка рождаемости в ПМР и </w:t>
            </w:r>
            <w:proofErr w:type="gram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. Рыбнице в сравнении с мировой рождаемостью. </w:t>
            </w: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Изучены проблемы в области воспроизводства населения и перспективы повышения рождаемости.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нагрузок на организм ребенка.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И.Ф. Шумилова </w:t>
            </w:r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Будет проанализировано и определено влияние физических нагрузок (в зависимости от вида деятельности, вида спорта) на организм ребенка.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физических упражнений для укрепления здоровья студентов.</w:t>
            </w: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ст. преп.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Будут исследованы методические приемы обучения физическим упражнениям, разработаны и конкретизированы комплексы упражнений для утренней гимнастики. Предложены рекомендации по оздоровлению и укреплению организма.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0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Занятие плаванием как средство укрепления иммунитета.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Мосежный</w:t>
            </w:r>
            <w:proofErr w:type="spellEnd"/>
            <w:r w:rsidRPr="0009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0960CC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Будет исследовано влияние плавания на укрепление иммунной системы. Будут  разработаны рекомендации для закаливания.</w:t>
            </w:r>
          </w:p>
        </w:tc>
        <w:tc>
          <w:tcPr>
            <w:tcW w:w="2620" w:type="dxa"/>
          </w:tcPr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sz w:val="24"/>
                <w:szCs w:val="24"/>
              </w:rPr>
              <w:t>Научная статья, доклад на конференции</w:t>
            </w:r>
          </w:p>
          <w:p w:rsidR="00AF49F7" w:rsidRPr="000960CC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0960CC" w:rsidTr="00EC2E96">
        <w:trPr>
          <w:trHeight w:val="283"/>
        </w:trPr>
        <w:tc>
          <w:tcPr>
            <w:tcW w:w="14210" w:type="dxa"/>
            <w:gridSpan w:val="6"/>
          </w:tcPr>
          <w:p w:rsidR="00AF49F7" w:rsidRPr="00D2142E" w:rsidRDefault="00AF49F7" w:rsidP="00EC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Кафедра декоративно-прикладного искусства</w:t>
            </w:r>
          </w:p>
        </w:tc>
      </w:tr>
      <w:tr w:rsidR="00AF49F7" w:rsidRPr="00D2142E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Союз художников  – творческая общественная организация Приднестровья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Этап 2. Творчество  заслуженного художника ПМР  С.Г. Панова</w:t>
            </w:r>
          </w:p>
        </w:tc>
        <w:tc>
          <w:tcPr>
            <w:tcW w:w="2840" w:type="dxa"/>
          </w:tcPr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Мосийчук</w:t>
            </w:r>
            <w:proofErr w:type="spell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 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Мосийчук</w:t>
            </w:r>
            <w:proofErr w:type="spell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426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Будет исследована творческая деятельность членов Союза художников и ее значение, влияние  на образовательную деятельность в области искусства</w:t>
            </w: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В процессе исследования будут систематизированы этапы творчества и общественно-творческая работа С.Г. Панова, как председателя союза художников ПМР</w:t>
            </w:r>
          </w:p>
        </w:tc>
        <w:tc>
          <w:tcPr>
            <w:tcW w:w="2620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доклады, статьи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AF49F7" w:rsidRPr="00D2142E" w:rsidTr="00EC2E96">
        <w:trPr>
          <w:trHeight w:val="283"/>
        </w:trPr>
        <w:tc>
          <w:tcPr>
            <w:tcW w:w="2840" w:type="dxa"/>
          </w:tcPr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образовательные школы Тирасполя.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Этап 2. Изучение исторических основ, зарождение художественных образовательных учреждений в </w:t>
            </w:r>
            <w:proofErr w:type="gram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Тирасполь</w:t>
            </w:r>
          </w:p>
        </w:tc>
        <w:tc>
          <w:tcPr>
            <w:tcW w:w="2840" w:type="dxa"/>
          </w:tcPr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  </w:t>
            </w: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Покусинский</w:t>
            </w:r>
            <w:proofErr w:type="spell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Покусинская</w:t>
            </w:r>
            <w:proofErr w:type="spell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1426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этапы становления и развития художественных образовательных школ </w:t>
            </w:r>
            <w:proofErr w:type="gram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. Тирасполя.</w:t>
            </w: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исторических документов, выдающихся личностей причастных </w:t>
            </w:r>
            <w:proofErr w:type="gram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художественных учреждений в г. Тирасполь: личность 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 А.Ф. </w:t>
            </w: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Фойницкого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620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отчет по теме исследования, а также выступления на конференциях.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</w:t>
            </w:r>
          </w:p>
        </w:tc>
      </w:tr>
      <w:tr w:rsidR="00AF49F7" w:rsidRPr="00D2142E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ind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D2142E" w:rsidRDefault="00AF49F7" w:rsidP="00EC2E96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школа.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Этап 2. Преподаватели специальных дисциплин </w:t>
            </w: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«ДХШ»</w:t>
            </w:r>
          </w:p>
        </w:tc>
        <w:tc>
          <w:tcPr>
            <w:tcW w:w="2840" w:type="dxa"/>
          </w:tcPr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Р.В.  </w:t>
            </w:r>
            <w:proofErr w:type="spell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Коневникова</w:t>
            </w:r>
            <w:proofErr w:type="spell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1426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исследованы этапы становления развития художественной школы </w:t>
            </w: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. Рыбнице.</w:t>
            </w: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проведена работа по сбору, исследованию и систематизацией документальных материалов, связанных с основами художественного образования ДХШ</w:t>
            </w:r>
          </w:p>
        </w:tc>
        <w:tc>
          <w:tcPr>
            <w:tcW w:w="2620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доклады, статьи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ab/>
              <w:t>статья</w:t>
            </w:r>
          </w:p>
        </w:tc>
      </w:tr>
      <w:tr w:rsidR="00AF49F7" w:rsidRPr="00D2142E" w:rsidTr="00EC2E96">
        <w:trPr>
          <w:trHeight w:val="283"/>
        </w:trPr>
        <w:tc>
          <w:tcPr>
            <w:tcW w:w="2840" w:type="dxa"/>
          </w:tcPr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</w:t>
            </w:r>
            <w:proofErr w:type="gram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. Дубоссары – становление и развитие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</w:pP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Этап 2. Художники-педагоги в становлении и развитии художественной школы 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г. Дубоссары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О.П. Ерохина, 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Л.В. Черная преподаватель,</w:t>
            </w:r>
          </w:p>
        </w:tc>
        <w:tc>
          <w:tcPr>
            <w:tcW w:w="1426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center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В процессе работы</w:t>
            </w: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будет исследовано и систематизировано художественное образование на примере Детской художественной школы </w:t>
            </w:r>
            <w:proofErr w:type="gram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. Дубоссары</w:t>
            </w: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будет проведена работа по исследованию материалов о художниках-педагогах и их роли в становлении художественного образования в </w:t>
            </w:r>
            <w:proofErr w:type="gramStart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. Дубоссары</w:t>
            </w:r>
          </w:p>
        </w:tc>
        <w:tc>
          <w:tcPr>
            <w:tcW w:w="2620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доклад, статья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AF49F7" w:rsidRPr="00D2142E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молодежной секции «Союза дизайнеров Приднестровья».</w:t>
            </w:r>
          </w:p>
        </w:tc>
        <w:tc>
          <w:tcPr>
            <w:tcW w:w="2840" w:type="dxa"/>
          </w:tcPr>
          <w:p w:rsidR="00AF49F7" w:rsidRPr="00D2142E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И.В. Филиппова, преподаватель</w:t>
            </w:r>
          </w:p>
        </w:tc>
        <w:tc>
          <w:tcPr>
            <w:tcW w:w="1426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D2142E" w:rsidRDefault="00AF49F7" w:rsidP="00EC2E96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D2142E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В процессе исследования будет рассмотрена роль молодежной секции в становлении дизайна Приднестровья.</w:t>
            </w:r>
          </w:p>
        </w:tc>
        <w:tc>
          <w:tcPr>
            <w:tcW w:w="2620" w:type="dxa"/>
          </w:tcPr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AF49F7" w:rsidRPr="00D2142E" w:rsidRDefault="00AF49F7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AF49F7" w:rsidRPr="00D2142E" w:rsidTr="00EC2E96">
        <w:trPr>
          <w:trHeight w:val="283"/>
        </w:trPr>
        <w:tc>
          <w:tcPr>
            <w:tcW w:w="14210" w:type="dxa"/>
            <w:gridSpan w:val="6"/>
          </w:tcPr>
          <w:p w:rsidR="00AF49F7" w:rsidRPr="008C25F0" w:rsidRDefault="00AF49F7" w:rsidP="00EC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германских языков и методики их преподавания</w:t>
            </w:r>
          </w:p>
        </w:tc>
      </w:tr>
      <w:tr w:rsidR="00AF49F7" w:rsidRPr="008C25F0" w:rsidTr="00EC2E96">
        <w:trPr>
          <w:trHeight w:val="283"/>
        </w:trPr>
        <w:tc>
          <w:tcPr>
            <w:tcW w:w="284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25F0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8C25F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Роль языковых и речевых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средств выразительности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при формировании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лингвострановедческой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компетенции на основе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840" w:type="dxa"/>
          </w:tcPr>
          <w:p w:rsidR="00AF49F7" w:rsidRPr="008C25F0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Гилевич П.Н., </w:t>
            </w:r>
          </w:p>
          <w:p w:rsidR="00AF49F7" w:rsidRPr="008C25F0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26" w:type="dxa"/>
          </w:tcPr>
          <w:p w:rsidR="00AF49F7" w:rsidRPr="008C25F0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8C25F0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8C25F0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8C25F0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Будет представлен анализ процесса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лингвострановедческой</w:t>
            </w:r>
            <w:proofErr w:type="gramEnd"/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компетенции с использованием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языковых и речевых средств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выразительности на основе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20" w:type="dxa"/>
          </w:tcPr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Публикации статей,</w:t>
            </w:r>
          </w:p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</w:tr>
      <w:tr w:rsidR="00AF49F7" w:rsidRPr="008C25F0" w:rsidTr="00EC2E96">
        <w:trPr>
          <w:trHeight w:val="283"/>
        </w:trPr>
        <w:tc>
          <w:tcPr>
            <w:tcW w:w="284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25F0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8C25F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Обучение домашнему чтению как учебному предмету.</w:t>
            </w:r>
          </w:p>
        </w:tc>
        <w:tc>
          <w:tcPr>
            <w:tcW w:w="2840" w:type="dxa"/>
          </w:tcPr>
          <w:p w:rsidR="00AF49F7" w:rsidRPr="008C25F0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Статник</w:t>
            </w:r>
            <w:proofErr w:type="spellEnd"/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О.Г., </w:t>
            </w:r>
            <w:proofErr w:type="spellStart"/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доцент</w:t>
            </w:r>
            <w:proofErr w:type="spellEnd"/>
          </w:p>
        </w:tc>
        <w:tc>
          <w:tcPr>
            <w:tcW w:w="1426" w:type="dxa"/>
          </w:tcPr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Результатом данной работы должна стать серия заданий, разработанных для студентов, изучающих немецкий язык как второй иностранный.</w:t>
            </w:r>
          </w:p>
        </w:tc>
        <w:tc>
          <w:tcPr>
            <w:tcW w:w="2620" w:type="dxa"/>
          </w:tcPr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Статья, доклад на конференции</w:t>
            </w:r>
          </w:p>
        </w:tc>
      </w:tr>
      <w:tr w:rsidR="00AF49F7" w:rsidRPr="008C25F0" w:rsidTr="00EC2E96">
        <w:trPr>
          <w:trHeight w:val="283"/>
        </w:trPr>
        <w:tc>
          <w:tcPr>
            <w:tcW w:w="284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F0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8C25F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возможности модели 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«Постепенной передачи ответственности» (“</w:t>
            </w: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Gradual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2840" w:type="dxa"/>
          </w:tcPr>
          <w:p w:rsidR="00AF49F7" w:rsidRPr="008C25F0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Перевязка Н.П.,</w:t>
            </w:r>
          </w:p>
          <w:p w:rsidR="00AF49F7" w:rsidRPr="008C25F0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ст., преподаватель;</w:t>
            </w:r>
          </w:p>
          <w:p w:rsidR="00AF49F7" w:rsidRPr="008C25F0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Аргунова</w:t>
            </w:r>
            <w:proofErr w:type="spellEnd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AF49F7" w:rsidRPr="008C25F0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26" w:type="dxa"/>
          </w:tcPr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8C25F0" w:rsidRDefault="00AF49F7" w:rsidP="00EC2E96">
            <w:pPr>
              <w:autoSpaceDE w:val="0"/>
              <w:autoSpaceDN w:val="0"/>
              <w:adjustRightInd w:val="0"/>
              <w:ind w:left="-1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особенности личностно-центрированного обучения в методике преподавания 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языков и возможность использования модели </w:t>
            </w: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«Постепенной передачи ответственности» для обеспечения автономии учащихся при обучении иностранному языку.</w:t>
            </w:r>
          </w:p>
        </w:tc>
        <w:tc>
          <w:tcPr>
            <w:tcW w:w="262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Статья, доклад на конференции</w:t>
            </w:r>
          </w:p>
        </w:tc>
      </w:tr>
      <w:tr w:rsidR="00AF49F7" w:rsidRPr="008C25F0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Антропонимы в вымышленных вселенных в современной массовой культуре</w:t>
            </w:r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AF49F7" w:rsidRPr="001039C2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Руссу А.Н., канд.</w:t>
            </w:r>
          </w:p>
          <w:p w:rsidR="00AF49F7" w:rsidRPr="001039C2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Будут выявлены особенности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антропонимикона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вымышленных вселенных в современной массовой культуре</w:t>
            </w:r>
          </w:p>
        </w:tc>
        <w:tc>
          <w:tcPr>
            <w:tcW w:w="262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докладом </w:t>
            </w:r>
            <w:proofErr w:type="gramStart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конференции / научном семинаре.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AF49F7" w:rsidRPr="008C25F0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Когнитивные механизмы</w:t>
            </w:r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формирования значения</w:t>
            </w:r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” (на</w:t>
            </w:r>
            <w:proofErr w:type="gramEnd"/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материале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proofErr w:type="gramEnd"/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языковых единиц).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Егорова В.Г., канд.</w:t>
            </w:r>
          </w:p>
          <w:p w:rsidR="00AF49F7" w:rsidRPr="001039C2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лингвистического</w:t>
            </w:r>
            <w:proofErr w:type="gramEnd"/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исследования будут проанализированы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языковые единицы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значением понимания и выявлены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когнитивные механизмы, которые это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формируют. Материалом для исследования станет группа фразеологических единиц и фразовых глаголов, группирующихся вокруг доминанты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understand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</w:t>
            </w:r>
            <w:proofErr w:type="gramStart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 xml:space="preserve">докладом </w:t>
            </w:r>
            <w:proofErr w:type="gramStart"/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конференции / научном семинаре.</w:t>
            </w:r>
          </w:p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AF49F7" w:rsidRPr="008C25F0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Принципы когнитивного моделирования эмоций как вместилищ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Задобривская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О.Ф., ст. преподаватель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Будут представлены принципы, действующие в зоне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метафорики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англоязычного пространства на примере эмоций, входящих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именной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криптокласс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Continens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Будет рассмотрена категоризация эмоционально-чувственных переживаний как по аналогии с содержащим, так и по аналогии с содержимым</w:t>
            </w:r>
            <w:proofErr w:type="gramEnd"/>
          </w:p>
        </w:tc>
        <w:tc>
          <w:tcPr>
            <w:tcW w:w="262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Статья, доклад на конференции</w:t>
            </w:r>
          </w:p>
        </w:tc>
      </w:tr>
      <w:tr w:rsidR="00AF49F7" w:rsidRPr="008C25F0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9F7" w:rsidRPr="001039C2" w:rsidRDefault="00AF49F7" w:rsidP="00EC2E9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планирование академической коммуникации в условиях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агональности</w:t>
            </w:r>
            <w:proofErr w:type="spellEnd"/>
          </w:p>
        </w:tc>
        <w:tc>
          <w:tcPr>
            <w:tcW w:w="2840" w:type="dxa"/>
          </w:tcPr>
          <w:p w:rsidR="00AF49F7" w:rsidRPr="001039C2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AF49F7" w:rsidRPr="001039C2" w:rsidRDefault="00AF49F7" w:rsidP="00EC2E9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AF49F7" w:rsidRPr="001039C2" w:rsidRDefault="00AF49F7" w:rsidP="00EC2E96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10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Будет изучено понятие «стратегия коммуникации», ее составляющие (тактики и приемы), а также проанализированы две основные стратегии (стратегия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</w:t>
            </w:r>
            <w:proofErr w:type="gram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) письменного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агонального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</w:p>
        </w:tc>
        <w:tc>
          <w:tcPr>
            <w:tcW w:w="2620" w:type="dxa"/>
          </w:tcPr>
          <w:p w:rsidR="00AF49F7" w:rsidRPr="008C25F0" w:rsidRDefault="00AF49F7" w:rsidP="00EC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F0">
              <w:rPr>
                <w:rFonts w:ascii="Times New Roman" w:hAnsi="Times New Roman" w:cs="Times New Roman"/>
                <w:sz w:val="24"/>
                <w:szCs w:val="24"/>
              </w:rPr>
              <w:t>Статья, доклад, информационный бюллетень «Окна академического роста»</w:t>
            </w:r>
          </w:p>
        </w:tc>
      </w:tr>
      <w:tr w:rsidR="00AF49F7" w:rsidRPr="008C25F0" w:rsidTr="00EC2E96">
        <w:trPr>
          <w:trHeight w:val="283"/>
        </w:trPr>
        <w:tc>
          <w:tcPr>
            <w:tcW w:w="14210" w:type="dxa"/>
            <w:gridSpan w:val="6"/>
          </w:tcPr>
          <w:p w:rsidR="00AF49F7" w:rsidRPr="001039C2" w:rsidRDefault="00AF49F7" w:rsidP="00EC2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менеджмента</w:t>
            </w:r>
          </w:p>
        </w:tc>
      </w:tr>
      <w:tr w:rsidR="00AF49F7" w:rsidRPr="00714141" w:rsidTr="00EC2E96">
        <w:trPr>
          <w:trHeight w:val="283"/>
        </w:trPr>
        <w:tc>
          <w:tcPr>
            <w:tcW w:w="2840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103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Финансовый анализ сельскохозяйственных предприятий ПМР</w:t>
            </w:r>
          </w:p>
        </w:tc>
        <w:tc>
          <w:tcPr>
            <w:tcW w:w="2840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26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1039C2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теоретических основ концепции финансовой стабильности государства. Влияние финансового </w:t>
            </w:r>
            <w:r w:rsidRPr="00103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 на устойчивое развитие агропромышленного комплекса. Совершенствование методики управления операционными активами сельскохозяйственной организации.</w:t>
            </w:r>
          </w:p>
        </w:tc>
        <w:tc>
          <w:tcPr>
            <w:tcW w:w="262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при подготовке докторской диссертации. Доклад на научно-практической 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конференции. Публикация в научных изданиях. Использование в учебном процессе.</w:t>
            </w:r>
          </w:p>
        </w:tc>
      </w:tr>
      <w:tr w:rsidR="00AF49F7" w:rsidRPr="00714141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Управление развитие кадрового потенциала в контексте реализации новых образовательных стандартов.</w:t>
            </w:r>
          </w:p>
        </w:tc>
        <w:tc>
          <w:tcPr>
            <w:tcW w:w="284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М.И., доцент Мельничук Л.Д.</w:t>
            </w:r>
          </w:p>
        </w:tc>
        <w:tc>
          <w:tcPr>
            <w:tcW w:w="1426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ключевых факторов, оказывающих влияние на состояние кадровой политики региона. Определение тенденций в системе кадрового обеспечения хозяйствующих субъектов ПМР. Определение ключевых </w:t>
            </w:r>
            <w:proofErr w:type="gram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направлений совершенствования профессиональной подготовки выпускника вуза</w:t>
            </w:r>
            <w:proofErr w:type="gram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Доклад на научно-практической конференции. Публикации в научных изданиях. Использование в учебном процессе.</w:t>
            </w:r>
          </w:p>
        </w:tc>
      </w:tr>
      <w:tr w:rsidR="00AF49F7" w:rsidRPr="00714141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как стратегия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народосбережения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Брадик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26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образования как основы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народосбережения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факторов, влияющих на систему образования с позиции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народосбережения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</w:t>
            </w:r>
            <w:proofErr w:type="gram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перспектив развития системы образования региона</w:t>
            </w:r>
            <w:proofErr w:type="gram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модели системы образования как стратегии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народосбережения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региона.</w:t>
            </w:r>
          </w:p>
        </w:tc>
        <w:tc>
          <w:tcPr>
            <w:tcW w:w="262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научных изданиях. Проведение научного семинара кафедры. Использование в учебном процессе. Выступление на научно-практической конференции.</w:t>
            </w:r>
          </w:p>
        </w:tc>
      </w:tr>
      <w:tr w:rsidR="00AF49F7" w:rsidRPr="00714141" w:rsidTr="00EC2E96">
        <w:trPr>
          <w:trHeight w:val="283"/>
        </w:trPr>
        <w:tc>
          <w:tcPr>
            <w:tcW w:w="2840" w:type="dxa"/>
          </w:tcPr>
          <w:p w:rsidR="00AF49F7" w:rsidRPr="00F80445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Анализ состояния и использования трудовых ресурсов северного региона ПМР.</w:t>
            </w:r>
          </w:p>
        </w:tc>
        <w:tc>
          <w:tcPr>
            <w:tcW w:w="284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26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численности и состава трудовых ресурсов региона. Рассмотрение направлений применения и эффективности использования трудовых ресурсов региона. Определение </w:t>
            </w:r>
            <w:proofErr w:type="gram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путей повышения эффективности использования трудовых ресурсов региона</w:t>
            </w:r>
            <w:proofErr w:type="gramEnd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Публикации в научных изданиях. Проведение научного семинара кафедры. Использование в учебном процессе.</w:t>
            </w:r>
          </w:p>
        </w:tc>
      </w:tr>
      <w:tr w:rsidR="00AF49F7" w:rsidRPr="00714141" w:rsidTr="00EC2E96">
        <w:trPr>
          <w:trHeight w:val="283"/>
        </w:trPr>
        <w:tc>
          <w:tcPr>
            <w:tcW w:w="284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Государственно-частное партнерство как инновационный подход к управлению предприятием в агропромышленном комплексе.</w:t>
            </w:r>
          </w:p>
        </w:tc>
        <w:tc>
          <w:tcPr>
            <w:tcW w:w="284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Кравченко П.А.</w:t>
            </w:r>
          </w:p>
        </w:tc>
        <w:tc>
          <w:tcPr>
            <w:tcW w:w="1426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теоретических аспектов применения системного подхода к управлению предприятием. Исследование методологии применения государственно-частного партнерства в условиях агропромышленного комплекса региона. </w:t>
            </w:r>
          </w:p>
        </w:tc>
        <w:tc>
          <w:tcPr>
            <w:tcW w:w="262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Публикации в научных изданиях. Проведение научного семинара кафедры. Использование в учебном процессе.</w:t>
            </w:r>
          </w:p>
        </w:tc>
      </w:tr>
      <w:tr w:rsidR="00AF49F7" w:rsidRPr="00714141" w:rsidTr="00EC2E96">
        <w:trPr>
          <w:trHeight w:val="283"/>
        </w:trPr>
        <w:tc>
          <w:tcPr>
            <w:tcW w:w="284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F804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деятельность организации с позиций обновления продукции</w:t>
            </w:r>
          </w:p>
        </w:tc>
        <w:tc>
          <w:tcPr>
            <w:tcW w:w="284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Луговая Н.Г.</w:t>
            </w:r>
            <w:proofErr w:type="gramEnd"/>
          </w:p>
        </w:tc>
        <w:tc>
          <w:tcPr>
            <w:tcW w:w="1426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23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1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продуктовой политики на примере хозяйствующего субъекта ПМР. Определение факторов влияния на эффективность </w:t>
            </w: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инновационных подходов в сфере управления продуктовой политикой.</w:t>
            </w:r>
          </w:p>
        </w:tc>
        <w:tc>
          <w:tcPr>
            <w:tcW w:w="2620" w:type="dxa"/>
          </w:tcPr>
          <w:p w:rsidR="00AF49F7" w:rsidRPr="00714141" w:rsidRDefault="00AF49F7" w:rsidP="00EC2E96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в научных изданиях. Проведение научного семинара кафедры. Использование в учебном процессе.</w:t>
            </w:r>
          </w:p>
        </w:tc>
      </w:tr>
    </w:tbl>
    <w:p w:rsidR="00AF49F7" w:rsidRPr="00714141" w:rsidRDefault="00AF49F7" w:rsidP="00AF49F7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714141" w:rsidRDefault="00AF49F7" w:rsidP="00AF49F7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Зам. директора по НР, </w:t>
      </w:r>
    </w:p>
    <w:p w:rsidR="00AF49F7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E71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039C2">
        <w:rPr>
          <w:rFonts w:ascii="Times New Roman" w:hAnsi="Times New Roman" w:cs="Times New Roman"/>
          <w:sz w:val="24"/>
          <w:szCs w:val="24"/>
        </w:rPr>
        <w:t xml:space="preserve">     </w:t>
      </w:r>
      <w:r w:rsidRPr="00E71C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Леонтяк</w:t>
      </w:r>
      <w:proofErr w:type="spellEnd"/>
    </w:p>
    <w:p w:rsidR="001039C2" w:rsidRPr="00E71CBC" w:rsidRDefault="001039C2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71CBC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71CBC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ПГУ им. Т.Г. Шевченко, </w:t>
      </w: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E71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39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И.А. Павлинов</w:t>
      </w:r>
    </w:p>
    <w:p w:rsidR="00AF49F7" w:rsidRDefault="00AF49F7" w:rsidP="00AF49F7">
      <w:pPr>
        <w:rPr>
          <w:rFonts w:ascii="Times New Roman" w:hAnsi="Times New Roman" w:cs="Times New Roman"/>
          <w:sz w:val="24"/>
          <w:szCs w:val="24"/>
        </w:rPr>
      </w:pPr>
    </w:p>
    <w:p w:rsidR="00AF49F7" w:rsidRPr="00F672E0" w:rsidRDefault="00AF49F7" w:rsidP="00AF49F7">
      <w:pPr>
        <w:rPr>
          <w:rFonts w:ascii="Times New Roman" w:hAnsi="Times New Roman" w:cs="Times New Roman"/>
          <w:sz w:val="24"/>
          <w:szCs w:val="24"/>
        </w:rPr>
      </w:pPr>
    </w:p>
    <w:p w:rsidR="00FE0902" w:rsidRDefault="00FE0902">
      <w:pPr>
        <w:rPr>
          <w:rFonts w:ascii="Times New Roman" w:hAnsi="Times New Roman" w:cs="Times New Roman"/>
          <w:sz w:val="28"/>
          <w:szCs w:val="28"/>
        </w:rPr>
      </w:pPr>
    </w:p>
    <w:sectPr w:rsidR="00FE0902" w:rsidSect="00F46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E45"/>
    <w:multiLevelType w:val="hybridMultilevel"/>
    <w:tmpl w:val="C4B2595A"/>
    <w:lvl w:ilvl="0" w:tplc="BB2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2DC5"/>
    <w:multiLevelType w:val="hybridMultilevel"/>
    <w:tmpl w:val="2CC02C2C"/>
    <w:lvl w:ilvl="0" w:tplc="942CD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A09DC"/>
    <w:multiLevelType w:val="hybridMultilevel"/>
    <w:tmpl w:val="D1424D0C"/>
    <w:lvl w:ilvl="0" w:tplc="BDF29D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DD0"/>
    <w:rsid w:val="000D3063"/>
    <w:rsid w:val="001039C2"/>
    <w:rsid w:val="001F05DB"/>
    <w:rsid w:val="006B4B2C"/>
    <w:rsid w:val="00721B8D"/>
    <w:rsid w:val="00736DD0"/>
    <w:rsid w:val="00812DDC"/>
    <w:rsid w:val="008905EE"/>
    <w:rsid w:val="00927556"/>
    <w:rsid w:val="009F7124"/>
    <w:rsid w:val="00AF49F7"/>
    <w:rsid w:val="00B10E47"/>
    <w:rsid w:val="00EF7525"/>
    <w:rsid w:val="00F46135"/>
    <w:rsid w:val="00FB18EC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135"/>
    <w:pPr>
      <w:ind w:left="720"/>
      <w:contextualSpacing/>
    </w:pPr>
  </w:style>
  <w:style w:type="paragraph" w:customStyle="1" w:styleId="1">
    <w:name w:val="Обычный1"/>
    <w:rsid w:val="00AF49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nmc</cp:lastModifiedBy>
  <cp:revision>3</cp:revision>
  <cp:lastPrinted>2019-11-28T12:00:00Z</cp:lastPrinted>
  <dcterms:created xsi:type="dcterms:W3CDTF">2019-11-28T11:58:00Z</dcterms:created>
  <dcterms:modified xsi:type="dcterms:W3CDTF">2019-11-28T12:06:00Z</dcterms:modified>
</cp:coreProperties>
</file>